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FD6082">
      <w:pPr>
        <w:widowControl/>
        <w:shd w:val="clear" w:color="auto" w:fill="FFFFFF"/>
        <w:spacing w:line="500" w:lineRule="exact"/>
        <w:jc w:val="center"/>
        <w:rPr>
          <w:rFonts w:eastAsia="方正仿宋_GBK" w:cs="宋体" w:asciiTheme="minorHAnsi" w:hAnsiTheme="minorHAnsi"/>
          <w:b/>
          <w:bCs/>
          <w:color w:val="auto"/>
          <w:kern w:val="0"/>
          <w:sz w:val="32"/>
          <w:szCs w:val="32"/>
          <w:highlight w:val="none"/>
        </w:rPr>
      </w:pPr>
    </w:p>
    <w:p w14:paraId="174EAB4D">
      <w:pPr>
        <w:widowControl/>
        <w:shd w:val="clear" w:color="auto" w:fill="FFFFFF"/>
        <w:spacing w:line="500" w:lineRule="exact"/>
        <w:rPr>
          <w:rFonts w:ascii="方正仿宋_GBK" w:hAnsi="宋体" w:eastAsia="方正仿宋_GBK" w:cs="宋体"/>
          <w:b/>
          <w:bCs/>
          <w:color w:val="auto"/>
          <w:kern w:val="0"/>
          <w:sz w:val="32"/>
          <w:szCs w:val="32"/>
          <w:highlight w:val="none"/>
        </w:rPr>
      </w:pPr>
    </w:p>
    <w:p w14:paraId="25658850">
      <w:pPr>
        <w:widowControl/>
        <w:shd w:val="clear" w:color="auto" w:fill="FFFFFF"/>
        <w:spacing w:line="500" w:lineRule="exact"/>
        <w:jc w:val="center"/>
        <w:rPr>
          <w:rFonts w:ascii="方正仿宋_GBK" w:hAnsi="宋体" w:eastAsia="方正仿宋_GBK" w:cs="宋体"/>
          <w:b/>
          <w:bCs/>
          <w:color w:val="auto"/>
          <w:kern w:val="0"/>
          <w:sz w:val="32"/>
          <w:szCs w:val="32"/>
          <w:highlight w:val="none"/>
        </w:rPr>
      </w:pPr>
    </w:p>
    <w:p w14:paraId="3249BC72">
      <w:pPr>
        <w:jc w:val="center"/>
        <w:rPr>
          <w:rFonts w:ascii="宋体" w:hAnsi="宋体" w:cs="宋体"/>
          <w:b/>
          <w:bCs/>
          <w:color w:val="auto"/>
          <w:spacing w:val="80"/>
          <w:sz w:val="260"/>
          <w:szCs w:val="260"/>
          <w:highlight w:val="none"/>
        </w:rPr>
      </w:pPr>
      <w:r>
        <w:rPr>
          <w:rFonts w:hint="eastAsia" w:ascii="宋体" w:hAnsi="宋体" w:cs="宋体"/>
          <w:b/>
          <w:bCs/>
          <w:color w:val="auto"/>
          <w:sz w:val="96"/>
          <w:szCs w:val="56"/>
          <w:highlight w:val="none"/>
          <w:lang w:eastAsia="zh-CN"/>
        </w:rPr>
        <w:t>询比</w:t>
      </w:r>
      <w:r>
        <w:rPr>
          <w:rFonts w:hint="eastAsia" w:ascii="宋体" w:hAnsi="宋体" w:cs="宋体"/>
          <w:b/>
          <w:bCs/>
          <w:color w:val="auto"/>
          <w:sz w:val="96"/>
          <w:szCs w:val="56"/>
          <w:highlight w:val="none"/>
        </w:rPr>
        <w:t>文件</w:t>
      </w:r>
    </w:p>
    <w:p w14:paraId="07308B52">
      <w:pPr>
        <w:spacing w:line="700" w:lineRule="exact"/>
        <w:ind w:left="3196" w:leftChars="570" w:hanging="1600" w:hangingChars="500"/>
        <w:rPr>
          <w:rFonts w:ascii="宋体" w:hAnsi="宋体" w:cs="宋体"/>
          <w:color w:val="auto"/>
          <w:sz w:val="32"/>
          <w:szCs w:val="32"/>
          <w:highlight w:val="none"/>
        </w:rPr>
      </w:pPr>
    </w:p>
    <w:p w14:paraId="1FF275BD">
      <w:pPr>
        <w:spacing w:line="700" w:lineRule="exact"/>
        <w:ind w:left="3196" w:leftChars="570" w:hanging="1600" w:hangingChars="500"/>
        <w:rPr>
          <w:rFonts w:ascii="宋体" w:hAnsi="宋体" w:cs="宋体"/>
          <w:color w:val="auto"/>
          <w:sz w:val="32"/>
          <w:szCs w:val="32"/>
          <w:highlight w:val="none"/>
        </w:rPr>
      </w:pPr>
    </w:p>
    <w:p w14:paraId="6CB03918">
      <w:pPr>
        <w:spacing w:line="700" w:lineRule="exact"/>
        <w:ind w:left="3196" w:leftChars="570" w:hanging="1600" w:hangingChars="500"/>
        <w:rPr>
          <w:rFonts w:ascii="宋体" w:hAnsi="宋体" w:cs="宋体"/>
          <w:color w:val="auto"/>
          <w:sz w:val="32"/>
          <w:szCs w:val="32"/>
          <w:highlight w:val="none"/>
        </w:rPr>
      </w:pPr>
    </w:p>
    <w:p w14:paraId="1308A7B3">
      <w:pPr>
        <w:spacing w:line="700" w:lineRule="exact"/>
        <w:ind w:left="3196" w:leftChars="570" w:hanging="1600" w:hangingChars="500"/>
        <w:rPr>
          <w:rFonts w:ascii="宋体" w:hAnsi="宋体" w:cs="宋体"/>
          <w:color w:val="auto"/>
          <w:sz w:val="32"/>
          <w:szCs w:val="32"/>
          <w:highlight w:val="none"/>
        </w:rPr>
      </w:pPr>
    </w:p>
    <w:p w14:paraId="6DA5026B">
      <w:pPr>
        <w:widowControl/>
        <w:shd w:val="clear" w:color="auto" w:fill="FFFFFF"/>
        <w:spacing w:line="500" w:lineRule="exact"/>
        <w:jc w:val="center"/>
        <w:rPr>
          <w:rFonts w:hint="eastAsia" w:ascii="宋体" w:hAnsi="宋体" w:eastAsia="宋体" w:cs="宋体"/>
          <w:b/>
          <w:bCs/>
          <w:color w:val="auto"/>
          <w:kern w:val="0"/>
          <w:sz w:val="40"/>
          <w:szCs w:val="40"/>
          <w:highlight w:val="none"/>
          <w:lang w:eastAsia="zh-CN"/>
        </w:rPr>
      </w:pPr>
      <w:r>
        <w:rPr>
          <w:rFonts w:hint="eastAsia" w:ascii="宋体" w:hAnsi="宋体" w:cs="宋体"/>
          <w:b/>
          <w:bCs/>
          <w:color w:val="auto"/>
          <w:kern w:val="0"/>
          <w:sz w:val="40"/>
          <w:szCs w:val="40"/>
          <w:highlight w:val="none"/>
        </w:rPr>
        <w:t>项目名称:</w:t>
      </w:r>
      <w:r>
        <w:rPr>
          <w:rFonts w:hint="eastAsia" w:ascii="宋体" w:hAnsi="宋体" w:cs="宋体"/>
          <w:b/>
          <w:bCs/>
          <w:color w:val="auto"/>
          <w:kern w:val="0"/>
          <w:sz w:val="40"/>
          <w:szCs w:val="40"/>
          <w:highlight w:val="none"/>
          <w:lang w:eastAsia="zh-CN"/>
        </w:rPr>
        <w:t>全国重点省市考古经费标准调研专业化在线问卷设计与数据整理服务</w:t>
      </w:r>
    </w:p>
    <w:p w14:paraId="1B6885B7">
      <w:pPr>
        <w:widowControl/>
        <w:shd w:val="clear" w:color="auto" w:fill="FFFFFF"/>
        <w:spacing w:line="500" w:lineRule="exact"/>
        <w:jc w:val="center"/>
        <w:rPr>
          <w:rFonts w:ascii="宋体" w:hAnsi="宋体" w:cs="宋体"/>
          <w:b/>
          <w:bCs/>
          <w:color w:val="auto"/>
          <w:kern w:val="0"/>
          <w:sz w:val="40"/>
          <w:szCs w:val="40"/>
          <w:highlight w:val="none"/>
        </w:rPr>
      </w:pPr>
    </w:p>
    <w:p w14:paraId="19B1E176">
      <w:pPr>
        <w:widowControl/>
        <w:shd w:val="clear" w:color="auto" w:fill="FFFFFF"/>
        <w:spacing w:line="500" w:lineRule="exact"/>
        <w:jc w:val="center"/>
        <w:rPr>
          <w:rFonts w:ascii="宋体" w:hAnsi="宋体" w:cs="宋体"/>
          <w:b/>
          <w:bCs/>
          <w:color w:val="auto"/>
          <w:kern w:val="0"/>
          <w:sz w:val="40"/>
          <w:szCs w:val="40"/>
          <w:highlight w:val="none"/>
        </w:rPr>
      </w:pPr>
    </w:p>
    <w:p w14:paraId="76170A6C">
      <w:pPr>
        <w:widowControl/>
        <w:shd w:val="clear" w:color="auto" w:fill="FFFFFF"/>
        <w:spacing w:line="500" w:lineRule="exact"/>
        <w:jc w:val="center"/>
        <w:rPr>
          <w:rFonts w:ascii="宋体" w:hAnsi="宋体" w:cs="宋体"/>
          <w:b/>
          <w:bCs/>
          <w:color w:val="auto"/>
          <w:kern w:val="0"/>
          <w:sz w:val="40"/>
          <w:szCs w:val="40"/>
          <w:highlight w:val="none"/>
        </w:rPr>
      </w:pPr>
    </w:p>
    <w:p w14:paraId="1DF528B4">
      <w:pPr>
        <w:widowControl/>
        <w:shd w:val="clear" w:color="auto" w:fill="FFFFFF"/>
        <w:spacing w:line="500" w:lineRule="exact"/>
        <w:jc w:val="center"/>
        <w:rPr>
          <w:rFonts w:ascii="宋体" w:hAnsi="宋体" w:cs="宋体"/>
          <w:b/>
          <w:bCs/>
          <w:color w:val="auto"/>
          <w:kern w:val="0"/>
          <w:sz w:val="40"/>
          <w:szCs w:val="40"/>
          <w:highlight w:val="none"/>
        </w:rPr>
      </w:pPr>
    </w:p>
    <w:p w14:paraId="3957207E">
      <w:pPr>
        <w:widowControl/>
        <w:shd w:val="clear" w:color="auto" w:fill="FFFFFF"/>
        <w:spacing w:line="500" w:lineRule="exact"/>
        <w:jc w:val="center"/>
        <w:rPr>
          <w:rFonts w:ascii="宋体" w:hAnsi="宋体" w:cs="宋体"/>
          <w:b/>
          <w:bCs/>
          <w:color w:val="auto"/>
          <w:kern w:val="0"/>
          <w:sz w:val="40"/>
          <w:szCs w:val="40"/>
          <w:highlight w:val="none"/>
        </w:rPr>
      </w:pPr>
    </w:p>
    <w:p w14:paraId="743EE5DC">
      <w:pPr>
        <w:widowControl/>
        <w:shd w:val="clear" w:color="auto" w:fill="FFFFFF"/>
        <w:spacing w:line="500" w:lineRule="exact"/>
        <w:jc w:val="center"/>
        <w:rPr>
          <w:rFonts w:ascii="宋体" w:hAnsi="宋体" w:cs="宋体"/>
          <w:b/>
          <w:bCs/>
          <w:color w:val="auto"/>
          <w:kern w:val="0"/>
          <w:sz w:val="40"/>
          <w:szCs w:val="40"/>
          <w:highlight w:val="none"/>
        </w:rPr>
      </w:pPr>
      <w:r>
        <w:rPr>
          <w:rFonts w:hint="eastAsia" w:ascii="宋体" w:hAnsi="宋体" w:cs="宋体"/>
          <w:b/>
          <w:bCs/>
          <w:color w:val="auto"/>
          <w:kern w:val="0"/>
          <w:sz w:val="40"/>
          <w:szCs w:val="40"/>
          <w:highlight w:val="none"/>
        </w:rPr>
        <w:t>采购人：重庆市文物考古研究院</w:t>
      </w:r>
    </w:p>
    <w:p w14:paraId="190806DB">
      <w:pPr>
        <w:widowControl/>
        <w:shd w:val="clear" w:color="auto" w:fill="FFFFFF"/>
        <w:spacing w:line="500" w:lineRule="exact"/>
        <w:jc w:val="center"/>
        <w:rPr>
          <w:rFonts w:ascii="宋体" w:hAnsi="宋体" w:cs="宋体"/>
          <w:b/>
          <w:bCs/>
          <w:color w:val="auto"/>
          <w:kern w:val="0"/>
          <w:sz w:val="40"/>
          <w:szCs w:val="40"/>
          <w:highlight w:val="none"/>
        </w:rPr>
      </w:pPr>
      <w:r>
        <w:rPr>
          <w:rFonts w:hint="eastAsia" w:ascii="宋体" w:hAnsi="宋体" w:cs="宋体"/>
          <w:b/>
          <w:bCs/>
          <w:color w:val="auto"/>
          <w:kern w:val="0"/>
          <w:sz w:val="40"/>
          <w:szCs w:val="40"/>
          <w:highlight w:val="none"/>
        </w:rPr>
        <w:t xml:space="preserve">        （重庆文化遗产保护中心）</w:t>
      </w:r>
    </w:p>
    <w:p w14:paraId="4AEA6683">
      <w:pPr>
        <w:widowControl/>
        <w:shd w:val="clear" w:color="auto" w:fill="FFFFFF"/>
        <w:spacing w:line="500" w:lineRule="exact"/>
        <w:jc w:val="center"/>
        <w:rPr>
          <w:rFonts w:ascii="宋体" w:hAnsi="宋体" w:cs="宋体"/>
          <w:b/>
          <w:bCs/>
          <w:color w:val="auto"/>
          <w:kern w:val="0"/>
          <w:sz w:val="32"/>
          <w:szCs w:val="32"/>
          <w:highlight w:val="none"/>
        </w:rPr>
      </w:pPr>
    </w:p>
    <w:p w14:paraId="3F02A9E9">
      <w:pPr>
        <w:widowControl/>
        <w:shd w:val="clear" w:color="auto" w:fill="FFFFFF"/>
        <w:spacing w:line="500" w:lineRule="exact"/>
        <w:jc w:val="center"/>
        <w:rPr>
          <w:rFonts w:ascii="宋体" w:hAnsi="宋体" w:cs="宋体"/>
          <w:b/>
          <w:bCs/>
          <w:color w:val="auto"/>
          <w:kern w:val="0"/>
          <w:sz w:val="32"/>
          <w:szCs w:val="32"/>
          <w:highlight w:val="none"/>
        </w:rPr>
      </w:pPr>
    </w:p>
    <w:p w14:paraId="0AC0F521">
      <w:pPr>
        <w:widowControl/>
        <w:shd w:val="clear" w:color="auto" w:fill="FFFFFF"/>
        <w:spacing w:line="500" w:lineRule="exact"/>
        <w:jc w:val="center"/>
        <w:rPr>
          <w:rFonts w:ascii="宋体" w:hAnsi="宋体" w:cs="宋体"/>
          <w:b/>
          <w:bCs/>
          <w:color w:val="auto"/>
          <w:kern w:val="0"/>
          <w:sz w:val="32"/>
          <w:szCs w:val="32"/>
          <w:highlight w:val="none"/>
        </w:rPr>
      </w:pPr>
    </w:p>
    <w:p w14:paraId="790C79C0">
      <w:pPr>
        <w:widowControl/>
        <w:shd w:val="clear" w:color="auto" w:fill="FFFFFF"/>
        <w:spacing w:line="500" w:lineRule="exact"/>
        <w:jc w:val="center"/>
        <w:rPr>
          <w:rFonts w:ascii="宋体" w:hAnsi="宋体" w:cs="宋体"/>
          <w:b/>
          <w:bCs/>
          <w:color w:val="auto"/>
          <w:kern w:val="0"/>
          <w:sz w:val="32"/>
          <w:szCs w:val="32"/>
          <w:highlight w:val="none"/>
        </w:rPr>
      </w:pPr>
    </w:p>
    <w:p w14:paraId="425E3F1B">
      <w:pPr>
        <w:widowControl/>
        <w:shd w:val="clear" w:color="auto" w:fill="FFFFFF"/>
        <w:spacing w:line="500" w:lineRule="exact"/>
        <w:jc w:val="center"/>
        <w:rPr>
          <w:rFonts w:ascii="宋体" w:hAnsi="宋体" w:cs="宋体"/>
          <w:b/>
          <w:bCs/>
          <w:color w:val="auto"/>
          <w:kern w:val="0"/>
          <w:sz w:val="32"/>
          <w:szCs w:val="32"/>
          <w:highlight w:val="none"/>
        </w:rPr>
      </w:pPr>
      <w:r>
        <w:rPr>
          <w:rFonts w:hint="eastAsia" w:ascii="宋体" w:hAnsi="宋体" w:cs="宋体"/>
          <w:b/>
          <w:bCs/>
          <w:color w:val="auto"/>
          <w:kern w:val="0"/>
          <w:sz w:val="32"/>
          <w:szCs w:val="32"/>
          <w:highlight w:val="none"/>
        </w:rPr>
        <w:t>二〇二五年十月</w:t>
      </w:r>
    </w:p>
    <w:p w14:paraId="5C7F8225">
      <w:pPr>
        <w:pStyle w:val="7"/>
        <w:spacing w:line="500" w:lineRule="exact"/>
        <w:rPr>
          <w:color w:val="auto"/>
          <w:highlight w:val="none"/>
        </w:rPr>
      </w:pPr>
    </w:p>
    <w:p w14:paraId="2BE61E7E">
      <w:pPr>
        <w:rPr>
          <w:rFonts w:hint="eastAsia"/>
          <w:color w:val="auto"/>
          <w:highlight w:val="none"/>
        </w:rPr>
      </w:pPr>
    </w:p>
    <w:p w14:paraId="49BE8DF0">
      <w:pPr>
        <w:widowControl/>
        <w:shd w:val="clear" w:color="auto" w:fill="FFFFFF"/>
        <w:spacing w:line="500" w:lineRule="exact"/>
        <w:ind w:firstLine="643" w:firstLineChars="200"/>
        <w:jc w:val="center"/>
        <w:rPr>
          <w:rFonts w:ascii="宋体" w:hAnsi="宋体" w:cs="宋体"/>
          <w:b/>
          <w:bCs/>
          <w:color w:val="auto"/>
          <w:kern w:val="0"/>
          <w:sz w:val="32"/>
          <w:szCs w:val="32"/>
          <w:highlight w:val="none"/>
        </w:rPr>
      </w:pPr>
      <w:r>
        <w:rPr>
          <w:rFonts w:hint="eastAsia" w:ascii="宋体" w:hAnsi="宋体" w:cs="宋体"/>
          <w:b/>
          <w:bCs/>
          <w:color w:val="auto"/>
          <w:kern w:val="0"/>
          <w:sz w:val="32"/>
          <w:szCs w:val="32"/>
          <w:highlight w:val="none"/>
        </w:rPr>
        <w:t>询比公告</w:t>
      </w:r>
    </w:p>
    <w:p w14:paraId="1702BD32">
      <w:pPr>
        <w:pStyle w:val="22"/>
        <w:widowControl/>
        <w:shd w:val="clear" w:color="auto" w:fill="FFFFFF"/>
        <w:spacing w:line="500" w:lineRule="exact"/>
        <w:ind w:firstLine="480"/>
        <w:jc w:val="left"/>
        <w:rPr>
          <w:rFonts w:ascii="宋体" w:hAnsi="宋体" w:cs="宋体"/>
          <w:color w:val="auto"/>
          <w:kern w:val="0"/>
          <w:sz w:val="24"/>
          <w:szCs w:val="24"/>
          <w:highlight w:val="none"/>
        </w:rPr>
      </w:pPr>
      <w:r>
        <w:rPr>
          <w:rFonts w:ascii="宋体" w:hAnsi="宋体" w:cs="宋体"/>
          <w:color w:val="auto"/>
          <w:kern w:val="0"/>
          <w:sz w:val="24"/>
          <w:szCs w:val="24"/>
          <w:highlight w:val="none"/>
        </w:rPr>
        <w:t>一、</w:t>
      </w:r>
      <w:r>
        <w:rPr>
          <w:rFonts w:hint="eastAsia" w:ascii="宋体" w:hAnsi="宋体" w:cs="宋体"/>
          <w:b/>
          <w:bCs/>
          <w:color w:val="auto"/>
          <w:kern w:val="0"/>
          <w:sz w:val="24"/>
          <w:szCs w:val="24"/>
          <w:highlight w:val="none"/>
        </w:rPr>
        <w:t>服务内容</w:t>
      </w:r>
    </w:p>
    <w:p w14:paraId="6ADC8588">
      <w:pPr>
        <w:widowControl/>
        <w:shd w:val="clear" w:color="auto" w:fill="FFFFFF"/>
        <w:spacing w:line="500" w:lineRule="exact"/>
        <w:ind w:firstLine="420" w:firstLineChars="0"/>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为保障《重庆市中心城区社会投资项目“用地清单制”文物考古调查勘探工作制度和技术标准研究》课题的顺利推进，确保研究成果的科学性与适用性，课题组拟开展“全国重点省市考古经费标准”专项调研。鉴于该项工作专业性强、涉及面广，现拟通过采购专业化服务，委托第三方机构承担在线问卷的设计、发放、回收及数据整理分析工作。</w:t>
      </w:r>
    </w:p>
    <w:p w14:paraId="793B58D2">
      <w:pPr>
        <w:pStyle w:val="2"/>
        <w:rPr>
          <w:color w:val="auto"/>
          <w:highlight w:val="none"/>
        </w:rPr>
      </w:pPr>
    </w:p>
    <w:p w14:paraId="4E6E2C90">
      <w:pPr>
        <w:pStyle w:val="22"/>
        <w:widowControl/>
        <w:shd w:val="clear" w:color="auto" w:fill="FFFFFF"/>
        <w:spacing w:line="500" w:lineRule="exact"/>
        <w:ind w:firstLine="480"/>
        <w:jc w:val="left"/>
        <w:rPr>
          <w:rFonts w:ascii="宋体" w:hAnsi="宋体" w:cs="宋体"/>
          <w:b/>
          <w:bCs/>
          <w:color w:val="auto"/>
          <w:kern w:val="0"/>
          <w:sz w:val="24"/>
          <w:szCs w:val="24"/>
          <w:highlight w:val="none"/>
        </w:rPr>
      </w:pPr>
      <w:r>
        <w:rPr>
          <w:rFonts w:hint="eastAsia" w:ascii="宋体" w:hAnsi="宋体" w:cs="宋体"/>
          <w:color w:val="auto"/>
          <w:kern w:val="0"/>
          <w:sz w:val="24"/>
          <w:szCs w:val="24"/>
          <w:highlight w:val="none"/>
        </w:rPr>
        <w:t>二、</w:t>
      </w:r>
      <w:r>
        <w:rPr>
          <w:rFonts w:hint="eastAsia" w:ascii="宋体" w:hAnsi="宋体" w:cs="宋体"/>
          <w:b/>
          <w:bCs/>
          <w:color w:val="auto"/>
          <w:kern w:val="0"/>
          <w:sz w:val="24"/>
          <w:szCs w:val="24"/>
          <w:highlight w:val="none"/>
        </w:rPr>
        <w:t>采购最高限价：</w:t>
      </w:r>
    </w:p>
    <w:p w14:paraId="2E60684A">
      <w:pPr>
        <w:widowControl/>
        <w:shd w:val="clear" w:color="auto" w:fill="FFFFFF"/>
        <w:spacing w:line="500" w:lineRule="exact"/>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人民币</w:t>
      </w:r>
      <w:r>
        <w:rPr>
          <w:rFonts w:hint="eastAsia" w:ascii="宋体" w:hAnsi="宋体" w:cs="宋体"/>
          <w:color w:val="auto"/>
          <w:kern w:val="0"/>
          <w:sz w:val="24"/>
          <w:szCs w:val="24"/>
          <w:highlight w:val="none"/>
          <w:lang w:val="en-US" w:eastAsia="zh-CN"/>
        </w:rPr>
        <w:t>90</w:t>
      </w:r>
      <w:r>
        <w:rPr>
          <w:rFonts w:hint="eastAsia" w:ascii="宋体" w:hAnsi="宋体" w:cs="宋体"/>
          <w:color w:val="auto"/>
          <w:kern w:val="0"/>
          <w:sz w:val="24"/>
          <w:szCs w:val="24"/>
          <w:highlight w:val="none"/>
        </w:rPr>
        <w:t>00元，大写：</w:t>
      </w:r>
      <w:r>
        <w:rPr>
          <w:rFonts w:hint="eastAsia" w:ascii="宋体" w:hAnsi="宋体" w:cs="宋体"/>
          <w:color w:val="auto"/>
          <w:kern w:val="0"/>
          <w:sz w:val="24"/>
          <w:szCs w:val="24"/>
          <w:highlight w:val="none"/>
          <w:lang w:val="en-US" w:eastAsia="zh-CN"/>
        </w:rPr>
        <w:t>玖</w:t>
      </w:r>
      <w:r>
        <w:rPr>
          <w:rFonts w:hint="eastAsia" w:ascii="宋体" w:hAnsi="宋体" w:cs="宋体"/>
          <w:color w:val="auto"/>
          <w:kern w:val="0"/>
          <w:sz w:val="24"/>
          <w:szCs w:val="24"/>
          <w:highlight w:val="none"/>
        </w:rPr>
        <w:t>仟元整。</w:t>
      </w:r>
    </w:p>
    <w:p w14:paraId="7568F310">
      <w:pPr>
        <w:pStyle w:val="2"/>
        <w:rPr>
          <w:color w:val="auto"/>
          <w:highlight w:val="none"/>
        </w:rPr>
      </w:pPr>
    </w:p>
    <w:p w14:paraId="1C9D6D03">
      <w:pPr>
        <w:widowControl/>
        <w:shd w:val="clear" w:color="auto" w:fill="FFFFFF"/>
        <w:spacing w:line="500" w:lineRule="exact"/>
        <w:ind w:firstLine="482" w:firstLineChars="200"/>
        <w:jc w:val="left"/>
        <w:rPr>
          <w:rFonts w:ascii="宋体" w:hAnsi="宋体" w:cs="宋体"/>
          <w:color w:val="auto"/>
          <w:kern w:val="0"/>
          <w:sz w:val="24"/>
          <w:szCs w:val="24"/>
          <w:highlight w:val="none"/>
        </w:rPr>
      </w:pPr>
      <w:r>
        <w:rPr>
          <w:rFonts w:hint="eastAsia" w:ascii="宋体" w:hAnsi="宋体" w:cs="宋体"/>
          <w:b/>
          <w:bCs/>
          <w:color w:val="auto"/>
          <w:kern w:val="0"/>
          <w:sz w:val="24"/>
          <w:szCs w:val="24"/>
          <w:highlight w:val="none"/>
        </w:rPr>
        <w:t>三、服务内容及技术要求</w:t>
      </w:r>
    </w:p>
    <w:p w14:paraId="61F7B95A">
      <w:pPr>
        <w:pStyle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（一）服务内容（供应商需全程履约，承担以下全部工作责任）​</w:t>
      </w:r>
    </w:p>
    <w:p w14:paraId="114EFF9D">
      <w:pPr>
        <w:pStyle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1、专业化问卷设计与优化服务​</w:t>
      </w:r>
    </w:p>
    <w:p w14:paraId="4B45518B">
      <w:pPr>
        <w:pStyle w:val="11"/>
        <w:bidi w:val="0"/>
        <w:ind w:left="0" w:leftChars="0" w:firstLine="42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（1）需求深度对接：需在项目启动后 3 个工作日内，与课题组召开至少 2 次线下 / 线上专项沟通会（每次时长≥90 分钟），明确考古经费标准的专业内涵（如</w:t>
      </w:r>
      <w:r>
        <w:rPr>
          <w:rFonts w:hint="default" w:eastAsia="宋体" w:cs="宋体"/>
          <w:color w:val="auto"/>
          <w:sz w:val="24"/>
          <w:szCs w:val="24"/>
          <w:highlight w:val="none"/>
          <w:lang w:eastAsia="zh-CN"/>
        </w:rPr>
        <w:t>调查、勘探、</w:t>
      </w:r>
      <w:r>
        <w:rPr>
          <w:rFonts w:hint="eastAsia" w:ascii="宋体" w:hAnsi="宋体" w:eastAsia="宋体" w:cs="宋体"/>
          <w:color w:val="auto"/>
          <w:sz w:val="24"/>
          <w:szCs w:val="24"/>
          <w:highlight w:val="none"/>
          <w:lang w:val="en-US" w:eastAsia="zh-CN"/>
        </w:rPr>
        <w:t>发掘等细分成本构成）、调研对象特征（文物考古机构 / 行政管理部门的填报习惯）及核心调研目标（如区域经费差异对比、计费标准合理性验证），形成《需求确认纪要》经课题组签字确认后启动设计。</w:t>
      </w:r>
    </w:p>
    <w:p w14:paraId="461EEF34">
      <w:pPr>
        <w:pStyle w:val="11"/>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（2）问卷转化与优化：基于课题组提供的核心提纲，5 个工作日内完成首版在线问卷设计，需满足：</w:t>
      </w:r>
    </w:p>
    <w:p w14:paraId="7A64501E">
      <w:pPr>
        <w:pStyle w:val="11"/>
        <w:bidi w:val="0"/>
        <w:ind w:left="0" w:leftChars="0" w:firstLine="42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①结构分模块（样本信息、经费构成、计费标准、意见反馈 4 大模块）；</w:t>
      </w:r>
    </w:p>
    <w:p w14:paraId="048597E4">
      <w:pPr>
        <w:pStyle w:val="11"/>
        <w:bidi w:val="0"/>
        <w:ind w:left="0" w:leftChars="0" w:firstLine="42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②表述符合考古行业术语规范；</w:t>
      </w:r>
    </w:p>
    <w:p w14:paraId="7B5CD914">
      <w:pPr>
        <w:pStyle w:val="11"/>
        <w:bidi w:val="0"/>
        <w:ind w:left="0" w:leftChars="0" w:firstLine="42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③逻辑跳转合理。支持不超过 3 轮修改优化，每轮修改需在课题组提出意见后 2 个工作日内反馈修订版，最终经课题组书面（或盖章）确认后定稿。​</w:t>
      </w:r>
    </w:p>
    <w:p w14:paraId="4A3EB108">
      <w:pPr>
        <w:pStyle w:val="12"/>
        <w:rPr>
          <w:rFonts w:hint="eastAsia" w:ascii="宋体" w:hAnsi="宋体" w:eastAsia="宋体" w:cs="宋体"/>
          <w:color w:val="auto"/>
          <w:highlight w:val="none"/>
          <w:lang w:val="en-US" w:eastAsia="zh-CN"/>
        </w:rPr>
      </w:pPr>
    </w:p>
    <w:p w14:paraId="290C72F3">
      <w:pPr>
        <w:pStyle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2、目标省市选取与精准发放回收​</w:t>
      </w:r>
    </w:p>
    <w:p w14:paraId="6E3139E6">
      <w:pPr>
        <w:pStyle w:val="11"/>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（1）调研对象确定：与课题组共同筛选不少于 15 个全国重点省市（</w:t>
      </w:r>
      <w:r>
        <w:rPr>
          <w:rFonts w:hint="default" w:eastAsia="宋体" w:cs="宋体"/>
          <w:color w:val="auto"/>
          <w:highlight w:val="none"/>
          <w:lang w:eastAsia="zh-CN"/>
        </w:rPr>
        <w:t>优先覆盖文物资源丰富和经济发达省市</w:t>
      </w:r>
      <w:r>
        <w:rPr>
          <w:rFonts w:hint="eastAsia" w:ascii="宋体" w:hAnsi="宋体" w:eastAsia="宋体" w:cs="宋体"/>
          <w:color w:val="auto"/>
          <w:highlight w:val="none"/>
          <w:lang w:val="en-US" w:eastAsia="zh-CN"/>
        </w:rPr>
        <w:t>），每个省市至少选取 1 家文物考古研究机构 + 1 家相关行政管理部门作为调研对象，形成《调研对象清单》经课题组审核通过后执行。</w:t>
      </w:r>
    </w:p>
    <w:p w14:paraId="754D4AFF">
      <w:pPr>
        <w:pStyle w:val="11"/>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（2）定向发放与催收：通过专业在线问卷平台实现定向发放（支持按机构名称、联系人手机号精准推送），发放后需建立 “发放 - 催收 - 反馈” 机制：</w:t>
      </w:r>
    </w:p>
    <w:p w14:paraId="18DE9991">
      <w:pPr>
        <w:pStyle w:val="11"/>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①发放当日同步课题组发放进度；</w:t>
      </w:r>
    </w:p>
    <w:p w14:paraId="447DF02C">
      <w:pPr>
        <w:pStyle w:val="11"/>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②发放后 3 天、7 天各开展 1 次定向催收（通过短信 + 邮件双渠道，附课题组联系方式增强信任度）；</w:t>
      </w:r>
    </w:p>
    <w:p w14:paraId="21357E52">
      <w:pPr>
        <w:pStyle w:val="11"/>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③对逾期未填的调研对象，需电话沟通确认原因（每个对象至少 1 次电话跟进），确保整体有效回收率≥80%（有效问卷定义：填写时长≥5 分钟、关键经费数据无缺失、逻辑无矛盾）。​</w:t>
      </w:r>
    </w:p>
    <w:p w14:paraId="1F5473ED">
      <w:pPr>
        <w:pStyle w:val="12"/>
        <w:rPr>
          <w:rFonts w:hint="eastAsia" w:ascii="宋体" w:hAnsi="宋体" w:eastAsia="宋体" w:cs="宋体"/>
          <w:color w:val="auto"/>
          <w:highlight w:val="none"/>
          <w:lang w:val="en-US" w:eastAsia="zh-CN"/>
        </w:rPr>
      </w:pPr>
    </w:p>
    <w:p w14:paraId="674DB5EA">
      <w:pPr>
        <w:pStyle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3、数据整理与专业化分析​</w:t>
      </w:r>
    </w:p>
    <w:p w14:paraId="6C31BDEF">
      <w:pPr>
        <w:pStyle w:val="11"/>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（1）数据清洗与校验：回收结束后 5 个工作日内完成数据处理，需采用 “三重校验法”：</w:t>
      </w:r>
    </w:p>
    <w:p w14:paraId="757F9083">
      <w:pPr>
        <w:pStyle w:val="11"/>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①系统自动去重（剔除同一 IP / 手机号重复提交数据）；</w:t>
      </w:r>
    </w:p>
    <w:p w14:paraId="07BB571D">
      <w:pPr>
        <w:pStyle w:val="11"/>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②人工逻辑校验；</w:t>
      </w:r>
    </w:p>
    <w:p w14:paraId="0AD99DF5">
      <w:pPr>
        <w:pStyle w:val="11"/>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③存疑数据复核（将标记的存疑数据整理成《数据疑问清单》，3 个工作日内与课题组确认处理方案，无确认意见的暂存并标注），最终形成 “清洗前原始数据库 + 清洗后有效数据库” 双版本。</w:t>
      </w:r>
    </w:p>
    <w:p w14:paraId="158CA7DE">
      <w:pPr>
        <w:pStyle w:val="11"/>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（2）统计分析与报告撰写：使用专业工具开展分析，至少覆盖：</w:t>
      </w:r>
    </w:p>
    <w:p w14:paraId="7E3C8237">
      <w:pPr>
        <w:pStyle w:val="11"/>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①样本描述（省市分布、机构类型占比）；</w:t>
      </w:r>
    </w:p>
    <w:p w14:paraId="5D5D1100">
      <w:pPr>
        <w:pStyle w:val="11"/>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②经费构成统计（</w:t>
      </w:r>
      <w:r>
        <w:rPr>
          <w:rFonts w:hint="default" w:eastAsia="宋体" w:cs="宋体"/>
          <w:color w:val="auto"/>
          <w:sz w:val="24"/>
          <w:szCs w:val="24"/>
          <w:highlight w:val="none"/>
          <w:lang w:eastAsia="zh-CN"/>
        </w:rPr>
        <w:t>调查</w:t>
      </w:r>
      <w:r>
        <w:rPr>
          <w:rFonts w:hint="eastAsia" w:ascii="宋体" w:hAnsi="宋体" w:eastAsia="宋体" w:cs="宋体"/>
          <w:color w:val="auto"/>
          <w:sz w:val="24"/>
          <w:szCs w:val="24"/>
          <w:highlight w:val="none"/>
          <w:lang w:val="en-US" w:eastAsia="zh-CN"/>
        </w:rPr>
        <w:t>、</w:t>
      </w:r>
      <w:r>
        <w:rPr>
          <w:rFonts w:hint="default" w:eastAsia="宋体" w:cs="宋体"/>
          <w:color w:val="auto"/>
          <w:sz w:val="24"/>
          <w:szCs w:val="24"/>
          <w:highlight w:val="none"/>
          <w:lang w:eastAsia="zh-CN"/>
        </w:rPr>
        <w:t>勘探</w:t>
      </w:r>
      <w:r>
        <w:rPr>
          <w:rFonts w:hint="eastAsia" w:ascii="宋体" w:hAnsi="宋体" w:eastAsia="宋体" w:cs="宋体"/>
          <w:color w:val="auto"/>
          <w:sz w:val="24"/>
          <w:szCs w:val="24"/>
          <w:highlight w:val="none"/>
          <w:lang w:val="en-US" w:eastAsia="zh-CN"/>
        </w:rPr>
        <w:t>、</w:t>
      </w:r>
      <w:r>
        <w:rPr>
          <w:rFonts w:hint="default" w:eastAsia="宋体" w:cs="宋体"/>
          <w:color w:val="auto"/>
          <w:sz w:val="24"/>
          <w:szCs w:val="24"/>
          <w:highlight w:val="none"/>
          <w:lang w:eastAsia="zh-CN"/>
        </w:rPr>
        <w:t>发掘</w:t>
      </w:r>
      <w:r>
        <w:rPr>
          <w:rFonts w:hint="eastAsia" w:ascii="宋体" w:hAnsi="宋体" w:eastAsia="宋体" w:cs="宋体"/>
          <w:color w:val="auto"/>
          <w:sz w:val="24"/>
          <w:szCs w:val="24"/>
          <w:highlight w:val="none"/>
          <w:lang w:val="en-US" w:eastAsia="zh-CN"/>
        </w:rPr>
        <w:t>经费</w:t>
      </w:r>
      <w:r>
        <w:rPr>
          <w:rFonts w:hint="default" w:eastAsia="宋体" w:cs="宋体"/>
          <w:color w:val="auto"/>
          <w:sz w:val="24"/>
          <w:szCs w:val="24"/>
          <w:highlight w:val="none"/>
          <w:lang w:eastAsia="zh-CN"/>
        </w:rPr>
        <w:t>构成等</w:t>
      </w:r>
      <w:r>
        <w:rPr>
          <w:rFonts w:hint="eastAsia" w:ascii="宋体" w:hAnsi="宋体" w:eastAsia="宋体" w:cs="宋体"/>
          <w:color w:val="auto"/>
          <w:sz w:val="24"/>
          <w:szCs w:val="24"/>
          <w:highlight w:val="none"/>
          <w:lang w:val="en-US" w:eastAsia="zh-CN"/>
        </w:rPr>
        <w:t>）；</w:t>
      </w:r>
    </w:p>
    <w:p w14:paraId="10E0489C">
      <w:pPr>
        <w:pStyle w:val="11"/>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③计费标准对比（</w:t>
      </w:r>
      <w:r>
        <w:rPr>
          <w:rFonts w:hint="default" w:eastAsia="宋体" w:cs="宋体"/>
          <w:color w:val="auto"/>
          <w:sz w:val="24"/>
          <w:szCs w:val="24"/>
          <w:highlight w:val="none"/>
          <w:lang w:eastAsia="zh-CN"/>
        </w:rPr>
        <w:t>民工价计费标准</w:t>
      </w:r>
      <w:r>
        <w:rPr>
          <w:rFonts w:hint="eastAsia" w:ascii="宋体" w:hAnsi="宋体" w:eastAsia="宋体" w:cs="宋体"/>
          <w:color w:val="auto"/>
          <w:sz w:val="24"/>
          <w:szCs w:val="24"/>
          <w:highlight w:val="none"/>
          <w:lang w:val="en-US" w:eastAsia="zh-CN"/>
        </w:rPr>
        <w:t>、</w:t>
      </w:r>
      <w:r>
        <w:rPr>
          <w:rFonts w:hint="default" w:eastAsia="宋体" w:cs="宋体"/>
          <w:color w:val="auto"/>
          <w:sz w:val="24"/>
          <w:szCs w:val="24"/>
          <w:highlight w:val="none"/>
          <w:lang w:eastAsia="zh-CN"/>
        </w:rPr>
        <w:t>用工人数取值等</w:t>
      </w:r>
      <w:r>
        <w:rPr>
          <w:rFonts w:hint="eastAsia" w:ascii="宋体" w:hAnsi="宋体" w:eastAsia="宋体" w:cs="宋体"/>
          <w:color w:val="auto"/>
          <w:sz w:val="24"/>
          <w:szCs w:val="24"/>
          <w:highlight w:val="none"/>
          <w:lang w:val="en-US" w:eastAsia="zh-CN"/>
        </w:rPr>
        <w:t>）；</w:t>
      </w:r>
    </w:p>
    <w:p w14:paraId="7E29FAC3">
      <w:pPr>
        <w:pStyle w:val="11"/>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④结论提炼（明确当前经费标准的共性问题与区域特征）。10 个工作日内完成《全国重点省市考古经费标准调研数据报告》初稿，经课题组 1 轮审核后 5 个工作日内修订终稿，报告需附数据分析过程截图（确保可复现）。</w:t>
      </w:r>
    </w:p>
    <w:p w14:paraId="1683E821">
      <w:pPr>
        <w:pStyle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p w14:paraId="1126B23C">
      <w:pPr>
        <w:pStyle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（二）技术要求（支撑服务落地的核心技术门槛）​</w:t>
      </w:r>
    </w:p>
    <w:p w14:paraId="3A6B1734">
      <w:pPr>
        <w:pStyle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1、在线问卷平台技术标准​</w:t>
      </w:r>
    </w:p>
    <w:p w14:paraId="593E211E">
      <w:pPr>
        <w:pStyle w:val="11"/>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（1）功能支撑：需具备≥15 种专业题型（含矩阵量表、多级下拉选择、文件上传（支持 PDF/Excel 格式，单个文件≤50MB，用于上传经费台账附件））；支持逻辑控制（多条件组合跳转，如 “机构类型 = 省级考古所” 显示特定经费题目）；具备填写进度保存（支持中断后重新登录续填）、填写时长统计（用于判断数据有效性）功能。</w:t>
      </w:r>
    </w:p>
    <w:p w14:paraId="15D74B51">
      <w:pPr>
        <w:pStyle w:val="11"/>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（2）数据安全：平台需符合《个人信息保护法》要求，实现：</w:t>
      </w:r>
    </w:p>
    <w:p w14:paraId="738B386F">
      <w:pPr>
        <w:pStyle w:val="11"/>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①数据传输 HTTPS 加密 + 存储 AES-256 加密；</w:t>
      </w:r>
    </w:p>
    <w:p w14:paraId="38C9B46F">
      <w:pPr>
        <w:pStyle w:val="11"/>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②操作日志全记录（保留供应商及调研对象操作痕迹，至少 6 个月）；</w:t>
      </w:r>
    </w:p>
    <w:p w14:paraId="401F7050">
      <w:pPr>
        <w:pStyle w:val="11"/>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③数据访问权限分级（仅指定项目人员可查看原始数据）；</w:t>
      </w:r>
    </w:p>
    <w:p w14:paraId="39DEDD89">
      <w:pPr>
        <w:pStyle w:val="11"/>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④每日自动备份（备份数据保留≥30 天，支持异常时恢复）。</w:t>
      </w:r>
    </w:p>
    <w:p w14:paraId="6280EE83">
      <w:pPr>
        <w:pStyle w:val="11"/>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（3）稳定性与兼容性：支持≥200 人同时在线填写（响应延迟＜3 秒）；兼容 PC 端（Chrome/Edge/ 火狐 / Safari）及移动端（微信内置浏览器、手机浏览器），填写页面适配考古机构常用设备（如笔记本、平板）。​</w:t>
      </w:r>
    </w:p>
    <w:p w14:paraId="0860ADED">
      <w:pPr>
        <w:pStyle w:val="12"/>
        <w:rPr>
          <w:rFonts w:hint="eastAsia" w:ascii="宋体" w:hAnsi="宋体" w:eastAsia="宋体" w:cs="宋体"/>
          <w:color w:val="auto"/>
          <w:highlight w:val="none"/>
          <w:lang w:val="en-US" w:eastAsia="zh-CN"/>
        </w:rPr>
      </w:pPr>
    </w:p>
    <w:p w14:paraId="4B34D0A3">
      <w:pPr>
        <w:pStyle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2、数据处理技术规范​</w:t>
      </w:r>
    </w:p>
    <w:p w14:paraId="490FD064">
      <w:pPr>
        <w:pStyle w:val="11"/>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（1）工具要求：数据清洗需使用 Excel（2019 及以上版本，含数据透视表、条件格式校验功能）或 Python（需提供所用代码脚本）；统计分析需输出标准化结果（如描述性统计量表、区域对比柱状图 / 折线图，图表需标注样本量、统计时间）。</w:t>
      </w:r>
    </w:p>
    <w:p w14:paraId="7E712C0E">
      <w:pPr>
        <w:pStyle w:val="11"/>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（2）可溯源要求：所有数据处理步骤需记录《数据处理日志》（含处理时间、操作人员、处理逻辑）；分析过程文件需包含原始代码、参数设置说明，确保课题组可通过相同工具复现分析结果。​</w:t>
      </w:r>
    </w:p>
    <w:p w14:paraId="7DFE691E">
      <w:pPr>
        <w:pStyle w:val="12"/>
        <w:rPr>
          <w:rFonts w:hint="eastAsia" w:ascii="宋体" w:hAnsi="宋体" w:eastAsia="宋体" w:cs="宋体"/>
          <w:color w:val="auto"/>
          <w:highlight w:val="none"/>
          <w:lang w:val="en-US" w:eastAsia="zh-CN"/>
        </w:rPr>
      </w:pPr>
    </w:p>
    <w:p w14:paraId="31D4B055">
      <w:pPr>
        <w:pStyle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（三）成果交付标准（供应商需按以下要求提交成果，逾期或不达标视为履约不合格）</w:t>
      </w:r>
    </w:p>
    <w:p w14:paraId="775140E4">
      <w:pPr>
        <w:pStyle w:val="2"/>
        <w:rPr>
          <w:rFonts w:hint="eastAsia" w:ascii="宋体" w:hAnsi="宋体" w:eastAsia="宋体" w:cs="宋体"/>
          <w:color w:val="auto"/>
          <w:sz w:val="24"/>
          <w:szCs w:val="24"/>
          <w:highlight w:val="none"/>
          <w:lang w:val="en-US" w:eastAsia="zh-CN"/>
        </w:rPr>
      </w:pPr>
    </w:p>
    <w:p w14:paraId="17DA6DF4">
      <w:pPr>
        <w:pStyle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1、交付清单及要求​</w:t>
      </w:r>
    </w:p>
    <w:p w14:paraId="1345727B">
      <w:pPr>
        <w:pStyle w:val="11"/>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（1）经课题组盖章 / 签字确认的《在线调查问卷终稿》（含电子版链接 + PDF 版本，链接需支持永久查看，无填写时限限制）；</w:t>
      </w:r>
    </w:p>
    <w:p w14:paraId="7978B451">
      <w:pPr>
        <w:pStyle w:val="12"/>
        <w:rPr>
          <w:rFonts w:hint="eastAsia" w:ascii="宋体" w:hAnsi="宋体" w:eastAsia="宋体" w:cs="宋体"/>
          <w:color w:val="auto"/>
          <w:highlight w:val="none"/>
          <w:lang w:val="en-US" w:eastAsia="zh-CN"/>
        </w:rPr>
      </w:pPr>
    </w:p>
    <w:p w14:paraId="1E3B5E6B">
      <w:pPr>
        <w:pStyle w:val="11"/>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（2）调研成果数据包：</w:t>
      </w:r>
    </w:p>
    <w:p w14:paraId="3BC23457">
      <w:pPr>
        <w:pStyle w:val="11"/>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①原始数据库（清洗前，含所有提交记录，标注填写时间、IP 地址）；</w:t>
      </w:r>
    </w:p>
    <w:p w14:paraId="0FC5FA1F">
      <w:pPr>
        <w:pStyle w:val="11"/>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②有效数据库（清洗后，标注有效 / 无效判定结果及原因），均为 Excel/CSV 格式，数据字段需附说明文档；</w:t>
      </w:r>
    </w:p>
    <w:p w14:paraId="61C72ADB">
      <w:pPr>
        <w:pStyle w:val="11"/>
        <w:numPr>
          <w:ilvl w:val="0"/>
          <w:numId w:val="1"/>
        </w:numPr>
        <w:bidi w:val="0"/>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《全国重点省市考古经费标准调研数据报告》终稿（纸质版 3 份 + 电子版 PDF，需含课题组审核意见修订说明，关键图表需彩色印刷）；</w:t>
      </w:r>
    </w:p>
    <w:p w14:paraId="65C898D3">
      <w:pPr>
        <w:pStyle w:val="11"/>
        <w:numPr>
          <w:ilvl w:val="0"/>
          <w:numId w:val="0"/>
        </w:numPr>
        <w:bidi w:val="0"/>
        <w:ind w:firstLine="42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（4）辅助文件：</w:t>
      </w:r>
    </w:p>
    <w:p w14:paraId="244FF2E9">
      <w:pPr>
        <w:pStyle w:val="11"/>
        <w:numPr>
          <w:ilvl w:val="0"/>
          <w:numId w:val="0"/>
        </w:numPr>
        <w:bidi w:val="0"/>
        <w:ind w:firstLine="42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①数据编码手册（含每个字段的定义、编码规则，如 “经费来源” 字段中 “1 = 财政拨款，2 = 社会捐赠”）；</w:t>
      </w:r>
    </w:p>
    <w:p w14:paraId="40A4B951">
      <w:pPr>
        <w:pStyle w:val="11"/>
        <w:numPr>
          <w:ilvl w:val="0"/>
          <w:numId w:val="0"/>
        </w:numPr>
        <w:bidi w:val="0"/>
        <w:ind w:firstLine="42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②统计分析过程文件（Python 代码脚本 / SPSS 输出文件 + 操作说明）；</w:t>
      </w:r>
    </w:p>
    <w:p w14:paraId="75763155">
      <w:pPr>
        <w:pStyle w:val="11"/>
        <w:numPr>
          <w:ilvl w:val="0"/>
          <w:numId w:val="0"/>
        </w:numPr>
        <w:bidi w:val="0"/>
        <w:ind w:firstLine="42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③《项目执行报告》（含沟通记录、催收记录、数据处理日志，作为过程追溯依据）。</w:t>
      </w:r>
    </w:p>
    <w:p w14:paraId="12776CD6">
      <w:pPr>
        <w:pStyle w:val="12"/>
        <w:rPr>
          <w:rFonts w:hint="eastAsia" w:ascii="宋体" w:hAnsi="宋体" w:eastAsia="宋体" w:cs="宋体"/>
          <w:color w:val="auto"/>
          <w:highlight w:val="none"/>
          <w:lang w:val="en-US" w:eastAsia="zh-CN"/>
        </w:rPr>
      </w:pPr>
    </w:p>
    <w:p w14:paraId="3FBDE3B4">
      <w:pPr>
        <w:pStyle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2、交付时间：</w:t>
      </w:r>
    </w:p>
    <w:p w14:paraId="595DA165">
      <w:pPr>
        <w:pStyle w:val="11"/>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全部成果需在项目启动后 30 个工作日内完成交付，每逾期 1 个工作日，需按合同总金额的 0.5% 支付违约金（具体比例以正式合同约定为准）。</w:t>
      </w:r>
    </w:p>
    <w:p w14:paraId="445AC8B1">
      <w:pPr>
        <w:pStyle w:val="12"/>
        <w:rPr>
          <w:rFonts w:hint="eastAsia"/>
          <w:color w:val="auto"/>
          <w:highlight w:val="none"/>
          <w:lang w:val="en-US" w:eastAsia="zh-CN"/>
        </w:rPr>
      </w:pPr>
    </w:p>
    <w:p w14:paraId="25887D6D">
      <w:pPr>
        <w:widowControl/>
        <w:shd w:val="clear" w:color="auto" w:fill="FFFFFF"/>
        <w:spacing w:line="500" w:lineRule="exact"/>
        <w:ind w:left="238" w:leftChars="85" w:firstLine="241" w:firstLineChars="100"/>
        <w:jc w:val="left"/>
        <w:rPr>
          <w:rFonts w:ascii="宋体" w:hAnsi="宋体" w:cs="宋体"/>
          <w:b/>
          <w:bCs w:val="0"/>
          <w:color w:val="auto"/>
          <w:kern w:val="0"/>
          <w:sz w:val="24"/>
          <w:szCs w:val="24"/>
          <w:highlight w:val="none"/>
        </w:rPr>
      </w:pPr>
      <w:r>
        <w:rPr>
          <w:rFonts w:hint="eastAsia" w:ascii="宋体" w:hAnsi="宋体" w:cs="宋体"/>
          <w:b/>
          <w:bCs w:val="0"/>
          <w:color w:val="auto"/>
          <w:kern w:val="0"/>
          <w:sz w:val="24"/>
          <w:szCs w:val="24"/>
          <w:highlight w:val="none"/>
        </w:rPr>
        <w:t>四、供应商资格要求</w:t>
      </w:r>
    </w:p>
    <w:p w14:paraId="52878ADE">
      <w:pPr>
        <w:widowControl/>
        <w:shd w:val="clear" w:color="auto" w:fill="FFFFFF"/>
        <w:spacing w:line="5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1.具有独立承担民事责任能力；</w:t>
      </w:r>
    </w:p>
    <w:p w14:paraId="0044299E">
      <w:pPr>
        <w:widowControl/>
        <w:shd w:val="clear" w:color="auto" w:fill="FFFFFF"/>
        <w:spacing w:line="5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2.具有良好商业信誉；</w:t>
      </w:r>
    </w:p>
    <w:p w14:paraId="42B0512D">
      <w:pPr>
        <w:widowControl/>
        <w:shd w:val="clear" w:color="auto" w:fill="FFFFFF"/>
        <w:spacing w:line="5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3.具有履行合同所必需的设备和专业技术能力；</w:t>
      </w:r>
    </w:p>
    <w:p w14:paraId="1648D8B5">
      <w:pPr>
        <w:widowControl/>
        <w:shd w:val="clear" w:color="auto" w:fill="FFFFFF"/>
        <w:spacing w:line="5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4.有依法缴纳税收和社会保障资金的良好记录；</w:t>
      </w:r>
    </w:p>
    <w:p w14:paraId="161A9FD1">
      <w:pPr>
        <w:widowControl/>
        <w:shd w:val="clear" w:color="auto" w:fill="FFFFFF"/>
        <w:spacing w:line="5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5.参与政府采购活动前三年，在经营过程中无重大无法记录；</w:t>
      </w:r>
    </w:p>
    <w:p w14:paraId="4F72D420">
      <w:pPr>
        <w:widowControl/>
        <w:shd w:val="clear" w:color="auto" w:fill="FFFFFF"/>
        <w:spacing w:line="5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6.法律、行政法规规定的其它条件。</w:t>
      </w:r>
    </w:p>
    <w:p w14:paraId="05845414">
      <w:pPr>
        <w:widowControl/>
        <w:shd w:val="clear" w:color="auto" w:fill="FFFFFF"/>
        <w:spacing w:line="500" w:lineRule="exact"/>
        <w:ind w:firstLine="480" w:firstLineChars="200"/>
        <w:jc w:val="left"/>
        <w:rPr>
          <w:rFonts w:hint="eastAsia"/>
          <w:color w:val="auto"/>
          <w:highlight w:val="none"/>
          <w:lang w:val="en-US" w:eastAsia="zh-CN"/>
        </w:rPr>
      </w:pPr>
      <w:r>
        <w:rPr>
          <w:rFonts w:hint="eastAsia" w:ascii="宋体" w:hAnsi="宋体" w:cs="宋体"/>
          <w:color w:val="auto"/>
          <w:sz w:val="24"/>
          <w:szCs w:val="24"/>
          <w:highlight w:val="none"/>
        </w:rPr>
        <w:t>7.特定资格条件：无</w:t>
      </w:r>
    </w:p>
    <w:p w14:paraId="5329B8A6">
      <w:pPr>
        <w:pStyle w:val="2"/>
        <w:rPr>
          <w:rFonts w:hint="eastAsia"/>
          <w:color w:val="auto"/>
          <w:highlight w:val="none"/>
        </w:rPr>
      </w:pPr>
    </w:p>
    <w:p w14:paraId="0E835661">
      <w:pPr>
        <w:pStyle w:val="2"/>
        <w:rPr>
          <w:color w:val="auto"/>
          <w:highlight w:val="none"/>
        </w:rPr>
      </w:pPr>
    </w:p>
    <w:p w14:paraId="5DCB2B13">
      <w:pPr>
        <w:widowControl/>
        <w:shd w:val="clear" w:color="auto" w:fill="FFFFFF"/>
        <w:spacing w:line="500" w:lineRule="exact"/>
        <w:ind w:left="238" w:leftChars="85" w:firstLine="241" w:firstLineChars="100"/>
        <w:jc w:val="left"/>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五、采购服务约定</w:t>
      </w:r>
    </w:p>
    <w:p w14:paraId="4A5F835A">
      <w:pPr>
        <w:widowControl/>
        <w:shd w:val="clear" w:color="auto" w:fill="FFFFFF"/>
        <w:spacing w:line="50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1.服务周期</w:t>
      </w:r>
    </w:p>
    <w:p w14:paraId="3EE0C427">
      <w:pPr>
        <w:widowControl/>
        <w:shd w:val="clear" w:color="auto" w:fill="FFFFFF"/>
        <w:spacing w:line="500" w:lineRule="exact"/>
        <w:ind w:firstLine="480" w:firstLineChars="200"/>
        <w:jc w:val="left"/>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自合同签订之日起，30个工作日内完成全部服务工作并提交最终数据报告。</w:t>
      </w:r>
    </w:p>
    <w:p w14:paraId="0F12DB86">
      <w:pPr>
        <w:widowControl/>
        <w:shd w:val="clear" w:color="auto" w:fill="FFFFFF"/>
        <w:spacing w:line="50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2.服务地点</w:t>
      </w:r>
    </w:p>
    <w:p w14:paraId="75292B88">
      <w:pPr>
        <w:widowControl/>
        <w:shd w:val="clear" w:color="auto" w:fill="FFFFFF"/>
        <w:spacing w:line="50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服务地点：采购人指定地点。</w:t>
      </w:r>
    </w:p>
    <w:p w14:paraId="6957FAC8">
      <w:pPr>
        <w:widowControl/>
        <w:shd w:val="clear" w:color="auto" w:fill="FFFFFF"/>
        <w:spacing w:line="50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3.验收方式：</w:t>
      </w:r>
    </w:p>
    <w:p w14:paraId="3BB1A914">
      <w:pPr>
        <w:widowControl/>
        <w:shd w:val="clear" w:color="auto" w:fill="FFFFFF"/>
        <w:spacing w:line="500" w:lineRule="exact"/>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通过采购人组织的验收。</w:t>
      </w:r>
    </w:p>
    <w:p w14:paraId="1E90A605">
      <w:pPr>
        <w:pStyle w:val="2"/>
        <w:rPr>
          <w:color w:val="auto"/>
          <w:highlight w:val="none"/>
        </w:rPr>
      </w:pPr>
    </w:p>
    <w:p w14:paraId="11433B06">
      <w:pPr>
        <w:widowControl/>
        <w:shd w:val="clear" w:color="auto" w:fill="FFFFFF"/>
        <w:spacing w:line="500" w:lineRule="exact"/>
        <w:ind w:firstLine="482" w:firstLineChars="200"/>
        <w:jc w:val="left"/>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六、报价要求及成交原则</w:t>
      </w:r>
    </w:p>
    <w:p w14:paraId="584818CA">
      <w:pPr>
        <w:widowControl/>
        <w:shd w:val="clear" w:color="auto" w:fill="FFFFFF"/>
        <w:spacing w:line="500" w:lineRule="exact"/>
        <w:ind w:left="238" w:leftChars="85" w:firstLine="240" w:firstLineChars="1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1.报价要求：</w:t>
      </w:r>
    </w:p>
    <w:p w14:paraId="0615EE33">
      <w:pPr>
        <w:widowControl/>
        <w:shd w:val="clear" w:color="auto" w:fill="FFFFFF"/>
        <w:spacing w:line="50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次报价须为人民币报价，包含服务费、工作人员工资、交通运输、后勤用品、技材、不可预见、安全措施、税费、运杂费、保险费、验收、等所有费用。因成交供应商自身原因造成漏报、少报皆由其自行承担责任，</w:t>
      </w:r>
      <w:r>
        <w:rPr>
          <w:rFonts w:hint="eastAsia" w:ascii="宋体" w:hAnsi="宋体" w:cs="宋体"/>
          <w:color w:val="auto"/>
          <w:sz w:val="24"/>
          <w:szCs w:val="24"/>
          <w:highlight w:val="none"/>
        </w:rPr>
        <w:t>我院</w:t>
      </w:r>
      <w:r>
        <w:rPr>
          <w:rFonts w:hint="eastAsia" w:ascii="宋体" w:hAnsi="宋体" w:cs="宋体"/>
          <w:color w:val="auto"/>
          <w:kern w:val="0"/>
          <w:sz w:val="24"/>
          <w:szCs w:val="24"/>
          <w:highlight w:val="none"/>
        </w:rPr>
        <w:t>不再补偿。</w:t>
      </w:r>
    </w:p>
    <w:p w14:paraId="5E98C8D9">
      <w:pPr>
        <w:widowControl/>
        <w:shd w:val="clear" w:color="auto" w:fill="FFFFFF"/>
        <w:spacing w:line="50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2.成交原则</w:t>
      </w:r>
    </w:p>
    <w:p w14:paraId="6EEDD6AA">
      <w:pPr>
        <w:widowControl/>
        <w:shd w:val="clear" w:color="auto" w:fill="FFFFFF"/>
        <w:spacing w:line="500" w:lineRule="exact"/>
        <w:ind w:firstLine="480" w:firstLineChars="200"/>
        <w:jc w:val="left"/>
        <w:rPr>
          <w:rFonts w:ascii="宋体" w:hAnsi="宋体" w:cs="宋体"/>
          <w:color w:val="auto"/>
          <w:highlight w:val="none"/>
        </w:rPr>
      </w:pPr>
      <w:r>
        <w:rPr>
          <w:rFonts w:hint="eastAsia" w:ascii="宋体" w:hAnsi="宋体" w:cs="宋体"/>
          <w:color w:val="auto"/>
          <w:sz w:val="24"/>
          <w:szCs w:val="24"/>
          <w:highlight w:val="none"/>
        </w:rPr>
        <w:t>在符合本次采购要求、质量和服务的前提下，按最低价法确定成交供应商。</w:t>
      </w:r>
    </w:p>
    <w:p w14:paraId="66A69CE2">
      <w:pPr>
        <w:pStyle w:val="23"/>
        <w:spacing w:line="500" w:lineRule="exact"/>
        <w:ind w:firstLine="480" w:firstLineChars="200"/>
        <w:rPr>
          <w:rFonts w:hint="eastAsia" w:hAnsi="宋体" w:cs="宋体"/>
          <w:color w:val="auto"/>
          <w:szCs w:val="24"/>
          <w:highlight w:val="none"/>
        </w:rPr>
      </w:pPr>
      <w:r>
        <w:rPr>
          <w:rFonts w:hint="eastAsia" w:hAnsi="宋体" w:cs="宋体"/>
          <w:color w:val="auto"/>
          <w:szCs w:val="24"/>
          <w:highlight w:val="none"/>
        </w:rPr>
        <w:t>3.评审标准</w:t>
      </w:r>
    </w:p>
    <w:tbl>
      <w:tblPr>
        <w:tblStyle w:val="13"/>
        <w:tblW w:w="47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903"/>
        <w:gridCol w:w="717"/>
        <w:gridCol w:w="4739"/>
        <w:gridCol w:w="1887"/>
      </w:tblGrid>
      <w:tr w14:paraId="7648C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532" w:type="dxa"/>
            <w:vAlign w:val="center"/>
          </w:tcPr>
          <w:p w14:paraId="46C8FBEB">
            <w:pPr>
              <w:keepNext w:val="0"/>
              <w:keepLines w:val="0"/>
              <w:pageBreakBefore w:val="0"/>
              <w:widowControl w:val="0"/>
              <w:kinsoku/>
              <w:wordWrap/>
              <w:overflowPunct/>
              <w:topLinePunct w:val="0"/>
              <w:autoSpaceDE/>
              <w:autoSpaceDN/>
              <w:bidi w:val="0"/>
              <w:adjustRightInd/>
              <w:snapToGrid w:val="0"/>
              <w:ind w:firstLine="28"/>
              <w:jc w:val="center"/>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序号</w:t>
            </w:r>
          </w:p>
        </w:tc>
        <w:tc>
          <w:tcPr>
            <w:tcW w:w="903" w:type="dxa"/>
            <w:vAlign w:val="center"/>
          </w:tcPr>
          <w:p w14:paraId="0DB75E03">
            <w:pPr>
              <w:keepNext w:val="0"/>
              <w:keepLines w:val="0"/>
              <w:pageBreakBefore w:val="0"/>
              <w:widowControl w:val="0"/>
              <w:kinsoku/>
              <w:wordWrap/>
              <w:overflowPunct/>
              <w:topLinePunct w:val="0"/>
              <w:autoSpaceDE/>
              <w:autoSpaceDN/>
              <w:bidi w:val="0"/>
              <w:adjustRightInd/>
              <w:snapToGrid w:val="0"/>
              <w:ind w:firstLine="28"/>
              <w:jc w:val="center"/>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评分因素及权值</w:t>
            </w:r>
          </w:p>
        </w:tc>
        <w:tc>
          <w:tcPr>
            <w:tcW w:w="717" w:type="dxa"/>
            <w:vAlign w:val="center"/>
          </w:tcPr>
          <w:p w14:paraId="42BB7BB4">
            <w:pPr>
              <w:keepNext w:val="0"/>
              <w:keepLines w:val="0"/>
              <w:pageBreakBefore w:val="0"/>
              <w:widowControl w:val="0"/>
              <w:kinsoku/>
              <w:wordWrap/>
              <w:overflowPunct/>
              <w:topLinePunct w:val="0"/>
              <w:autoSpaceDE/>
              <w:autoSpaceDN/>
              <w:bidi w:val="0"/>
              <w:adjustRightInd/>
              <w:snapToGrid w:val="0"/>
              <w:ind w:firstLine="28"/>
              <w:jc w:val="center"/>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分值</w:t>
            </w:r>
          </w:p>
        </w:tc>
        <w:tc>
          <w:tcPr>
            <w:tcW w:w="4739" w:type="dxa"/>
            <w:vAlign w:val="center"/>
          </w:tcPr>
          <w:p w14:paraId="050DB0B9">
            <w:pPr>
              <w:keepNext w:val="0"/>
              <w:keepLines w:val="0"/>
              <w:pageBreakBefore w:val="0"/>
              <w:widowControl w:val="0"/>
              <w:kinsoku/>
              <w:wordWrap/>
              <w:overflowPunct/>
              <w:topLinePunct w:val="0"/>
              <w:autoSpaceDE/>
              <w:autoSpaceDN/>
              <w:bidi w:val="0"/>
              <w:adjustRightInd/>
              <w:snapToGrid w:val="0"/>
              <w:ind w:firstLine="28"/>
              <w:jc w:val="center"/>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评分标准</w:t>
            </w:r>
          </w:p>
        </w:tc>
        <w:tc>
          <w:tcPr>
            <w:tcW w:w="1887" w:type="dxa"/>
            <w:vAlign w:val="center"/>
          </w:tcPr>
          <w:p w14:paraId="33DF636C">
            <w:pPr>
              <w:keepNext w:val="0"/>
              <w:keepLines w:val="0"/>
              <w:pageBreakBefore w:val="0"/>
              <w:widowControl w:val="0"/>
              <w:kinsoku/>
              <w:wordWrap/>
              <w:overflowPunct/>
              <w:topLinePunct w:val="0"/>
              <w:autoSpaceDE/>
              <w:autoSpaceDN/>
              <w:bidi w:val="0"/>
              <w:adjustRightInd/>
              <w:snapToGrid w:val="0"/>
              <w:ind w:firstLine="28"/>
              <w:jc w:val="center"/>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说明</w:t>
            </w:r>
          </w:p>
        </w:tc>
      </w:tr>
      <w:tr w14:paraId="569A1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jc w:val="center"/>
        </w:trPr>
        <w:tc>
          <w:tcPr>
            <w:tcW w:w="532" w:type="dxa"/>
            <w:vAlign w:val="center"/>
          </w:tcPr>
          <w:p w14:paraId="68B26E92">
            <w:pPr>
              <w:keepNext w:val="0"/>
              <w:keepLines w:val="0"/>
              <w:pageBreakBefore w:val="0"/>
              <w:widowControl w:val="0"/>
              <w:kinsoku/>
              <w:wordWrap/>
              <w:overflowPunct/>
              <w:topLinePunct w:val="0"/>
              <w:autoSpaceDE/>
              <w:autoSpaceDN/>
              <w:bidi w:val="0"/>
              <w:adjustRightInd/>
              <w:snapToGrid w:val="0"/>
              <w:ind w:firstLine="28"/>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w:t>
            </w:r>
          </w:p>
        </w:tc>
        <w:tc>
          <w:tcPr>
            <w:tcW w:w="903" w:type="dxa"/>
            <w:vAlign w:val="center"/>
          </w:tcPr>
          <w:p w14:paraId="74D739B0">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磋商报价（</w:t>
            </w:r>
            <w:r>
              <w:rPr>
                <w:rFonts w:hint="eastAsia" w:ascii="仿宋" w:hAnsi="仿宋" w:eastAsia="仿宋" w:cs="仿宋"/>
                <w:color w:val="auto"/>
                <w:sz w:val="18"/>
                <w:szCs w:val="18"/>
                <w:highlight w:val="none"/>
                <w:lang w:val="en-US" w:eastAsia="zh-CN"/>
              </w:rPr>
              <w:t>3</w:t>
            </w:r>
            <w:r>
              <w:rPr>
                <w:rFonts w:hint="eastAsia" w:ascii="仿宋" w:hAnsi="仿宋" w:eastAsia="仿宋" w:cs="仿宋"/>
                <w:color w:val="auto"/>
                <w:sz w:val="18"/>
                <w:szCs w:val="18"/>
                <w:highlight w:val="none"/>
              </w:rPr>
              <w:t>0%）</w:t>
            </w:r>
          </w:p>
        </w:tc>
        <w:tc>
          <w:tcPr>
            <w:tcW w:w="717" w:type="dxa"/>
            <w:vAlign w:val="center"/>
          </w:tcPr>
          <w:p w14:paraId="1C158FF2">
            <w:pPr>
              <w:keepNext w:val="0"/>
              <w:keepLines w:val="0"/>
              <w:pageBreakBefore w:val="0"/>
              <w:widowControl w:val="0"/>
              <w:kinsoku/>
              <w:wordWrap/>
              <w:overflowPunct/>
              <w:topLinePunct w:val="0"/>
              <w:autoSpaceDE/>
              <w:autoSpaceDN/>
              <w:bidi w:val="0"/>
              <w:adjustRightInd/>
              <w:snapToGrid w:val="0"/>
              <w:ind w:firstLine="28"/>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3</w:t>
            </w:r>
            <w:r>
              <w:rPr>
                <w:rFonts w:hint="eastAsia" w:ascii="仿宋" w:hAnsi="仿宋" w:eastAsia="仿宋" w:cs="仿宋"/>
                <w:color w:val="auto"/>
                <w:sz w:val="18"/>
                <w:szCs w:val="18"/>
                <w:highlight w:val="none"/>
              </w:rPr>
              <w:t>0分</w:t>
            </w:r>
          </w:p>
        </w:tc>
        <w:tc>
          <w:tcPr>
            <w:tcW w:w="4739" w:type="dxa"/>
            <w:vAlign w:val="center"/>
          </w:tcPr>
          <w:p w14:paraId="597F7C58">
            <w:pPr>
              <w:keepNext w:val="0"/>
              <w:keepLines w:val="0"/>
              <w:pageBreakBefore w:val="0"/>
              <w:widowControl w:val="0"/>
              <w:kinsoku/>
              <w:wordWrap/>
              <w:overflowPunct/>
              <w:topLinePunct w:val="0"/>
              <w:autoSpaceDE/>
              <w:autoSpaceDN/>
              <w:bidi w:val="0"/>
              <w:adjustRightInd/>
              <w:snapToGrid w:val="0"/>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满足资格性、符合性要求且最后报价最低的供应商的价格为磋商基准价，其价格分为满分。其他供应商的价格分统一按照下列公式计算每个供应商的报价得分。</w:t>
            </w:r>
          </w:p>
          <w:p w14:paraId="1CDFA000">
            <w:pPr>
              <w:keepNext w:val="0"/>
              <w:keepLines w:val="0"/>
              <w:pageBreakBefore w:val="0"/>
              <w:widowControl w:val="0"/>
              <w:kinsoku/>
              <w:wordWrap/>
              <w:overflowPunct/>
              <w:topLinePunct w:val="0"/>
              <w:autoSpaceDE/>
              <w:autoSpaceDN/>
              <w:bidi w:val="0"/>
              <w:adjustRightInd/>
              <w:snapToGrid w:val="0"/>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磋商报价得分=（磋商基准价/最后磋商报价）×价格权值×100</w:t>
            </w:r>
          </w:p>
        </w:tc>
        <w:tc>
          <w:tcPr>
            <w:tcW w:w="1887" w:type="dxa"/>
            <w:vAlign w:val="center"/>
          </w:tcPr>
          <w:p w14:paraId="63049135">
            <w:pPr>
              <w:keepNext w:val="0"/>
              <w:keepLines w:val="0"/>
              <w:pageBreakBefore w:val="0"/>
              <w:widowControl w:val="0"/>
              <w:kinsoku/>
              <w:wordWrap/>
              <w:overflowPunct/>
              <w:topLinePunct w:val="0"/>
              <w:autoSpaceDE/>
              <w:autoSpaceDN/>
              <w:bidi w:val="0"/>
              <w:adjustRightInd/>
              <w:snapToGrid w:val="0"/>
              <w:ind w:firstLine="28"/>
              <w:textAlignment w:val="auto"/>
              <w:rPr>
                <w:rFonts w:hint="eastAsia" w:ascii="仿宋" w:hAnsi="仿宋" w:eastAsia="仿宋" w:cs="仿宋"/>
                <w:color w:val="auto"/>
                <w:sz w:val="18"/>
                <w:szCs w:val="18"/>
                <w:highlight w:val="none"/>
              </w:rPr>
            </w:pPr>
          </w:p>
        </w:tc>
      </w:tr>
      <w:tr w14:paraId="7292F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2" w:type="dxa"/>
            <w:vMerge w:val="restart"/>
            <w:vAlign w:val="center"/>
          </w:tcPr>
          <w:p w14:paraId="4E6965B2">
            <w:pPr>
              <w:keepNext w:val="0"/>
              <w:keepLines w:val="0"/>
              <w:pageBreakBefore w:val="0"/>
              <w:widowControl w:val="0"/>
              <w:kinsoku/>
              <w:wordWrap/>
              <w:overflowPunct/>
              <w:topLinePunct w:val="0"/>
              <w:autoSpaceDE/>
              <w:autoSpaceDN/>
              <w:bidi w:val="0"/>
              <w:adjustRightInd/>
              <w:snapToGrid w:val="0"/>
              <w:ind w:firstLine="28"/>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2</w:t>
            </w:r>
          </w:p>
        </w:tc>
        <w:tc>
          <w:tcPr>
            <w:tcW w:w="903" w:type="dxa"/>
            <w:vMerge w:val="restart"/>
            <w:vAlign w:val="center"/>
          </w:tcPr>
          <w:p w14:paraId="7CE62F7A">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服务部分</w:t>
            </w:r>
          </w:p>
          <w:p w14:paraId="67DF84C9">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（60%）</w:t>
            </w:r>
          </w:p>
        </w:tc>
        <w:tc>
          <w:tcPr>
            <w:tcW w:w="717" w:type="dxa"/>
            <w:vMerge w:val="restart"/>
            <w:vAlign w:val="center"/>
          </w:tcPr>
          <w:p w14:paraId="7C494777">
            <w:pPr>
              <w:keepNext w:val="0"/>
              <w:keepLines w:val="0"/>
              <w:pageBreakBefore w:val="0"/>
              <w:widowControl w:val="0"/>
              <w:kinsoku/>
              <w:wordWrap/>
              <w:overflowPunct/>
              <w:topLinePunct w:val="0"/>
              <w:autoSpaceDE/>
              <w:autoSpaceDN/>
              <w:bidi w:val="0"/>
              <w:adjustRightInd/>
              <w:snapToGrid w:val="0"/>
              <w:ind w:firstLine="28"/>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服务方案（60分）</w:t>
            </w:r>
          </w:p>
        </w:tc>
        <w:tc>
          <w:tcPr>
            <w:tcW w:w="4739" w:type="dxa"/>
            <w:vAlign w:val="center"/>
          </w:tcPr>
          <w:p w14:paraId="128D0B1D">
            <w:pPr>
              <w:keepNext w:val="0"/>
              <w:keepLines w:val="0"/>
              <w:pageBreakBefore w:val="0"/>
              <w:widowControl w:val="0"/>
              <w:kinsoku/>
              <w:wordWrap/>
              <w:overflowPunct/>
              <w:topLinePunct w:val="0"/>
              <w:autoSpaceDE/>
              <w:autoSpaceDN/>
              <w:bidi w:val="0"/>
              <w:adjustRightInd/>
              <w:snapToGrid w:val="0"/>
              <w:ind w:firstLine="28"/>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1.对项目</w:t>
            </w:r>
            <w:r>
              <w:rPr>
                <w:rFonts w:hint="eastAsia" w:ascii="仿宋" w:hAnsi="仿宋" w:eastAsia="仿宋" w:cs="仿宋"/>
                <w:color w:val="auto"/>
                <w:sz w:val="18"/>
                <w:szCs w:val="18"/>
                <w:highlight w:val="none"/>
                <w:lang w:val="en-US" w:eastAsia="zh-CN"/>
              </w:rPr>
              <w:t>背景</w:t>
            </w:r>
            <w:r>
              <w:rPr>
                <w:rFonts w:hint="eastAsia" w:ascii="仿宋" w:hAnsi="仿宋" w:eastAsia="仿宋" w:cs="仿宋"/>
                <w:color w:val="auto"/>
                <w:sz w:val="18"/>
                <w:szCs w:val="18"/>
                <w:highlight w:val="none"/>
              </w:rPr>
              <w:t>的认识、</w:t>
            </w:r>
            <w:r>
              <w:rPr>
                <w:rFonts w:hint="eastAsia" w:ascii="仿宋" w:hAnsi="仿宋" w:eastAsia="仿宋" w:cs="仿宋"/>
                <w:color w:val="auto"/>
                <w:sz w:val="18"/>
                <w:szCs w:val="18"/>
                <w:highlight w:val="none"/>
                <w:lang w:val="en-US" w:eastAsia="zh-CN"/>
              </w:rPr>
              <w:t>服务内容的设计</w:t>
            </w: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3</w:t>
            </w:r>
            <w:r>
              <w:rPr>
                <w:rFonts w:hint="eastAsia" w:ascii="仿宋" w:hAnsi="仿宋" w:eastAsia="仿宋" w:cs="仿宋"/>
                <w:color w:val="auto"/>
                <w:sz w:val="18"/>
                <w:szCs w:val="18"/>
                <w:highlight w:val="none"/>
              </w:rPr>
              <w:t>0分）</w:t>
            </w:r>
          </w:p>
          <w:p w14:paraId="16F17924">
            <w:pPr>
              <w:keepNext w:val="0"/>
              <w:keepLines w:val="0"/>
              <w:pageBreakBefore w:val="0"/>
              <w:widowControl w:val="0"/>
              <w:kinsoku/>
              <w:wordWrap/>
              <w:overflowPunct/>
              <w:topLinePunct w:val="0"/>
              <w:autoSpaceDE/>
              <w:autoSpaceDN/>
              <w:bidi w:val="0"/>
              <w:adjustRightInd/>
              <w:snapToGrid w:val="0"/>
              <w:ind w:firstLine="28"/>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内容包括：</w:t>
            </w:r>
            <w:r>
              <w:rPr>
                <w:rFonts w:hint="eastAsia" w:ascii="仿宋" w:hAnsi="仿宋" w:eastAsia="仿宋" w:cs="仿宋"/>
                <w:color w:val="auto"/>
                <w:sz w:val="18"/>
                <w:szCs w:val="18"/>
                <w:highlight w:val="none"/>
                <w:lang w:val="en-US" w:eastAsia="zh-CN"/>
              </w:rPr>
              <w:t>对项目背景的认识，服务内容，问卷设计，问卷的发放，问卷的回收，数据整理分析等。</w:t>
            </w:r>
          </w:p>
          <w:p w14:paraId="1DA30BA2">
            <w:pPr>
              <w:keepNext w:val="0"/>
              <w:keepLines w:val="0"/>
              <w:pageBreakBefore w:val="0"/>
              <w:widowControl w:val="0"/>
              <w:kinsoku/>
              <w:wordWrap/>
              <w:overflowPunct/>
              <w:topLinePunct w:val="0"/>
              <w:autoSpaceDE/>
              <w:autoSpaceDN/>
              <w:bidi w:val="0"/>
              <w:adjustRightInd/>
              <w:snapToGrid w:val="0"/>
              <w:ind w:firstLine="28"/>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阐述内容包含上述所有内容，且对各项内容均进行描述的基础上，内容不存在瑕疵得30分，阐述内容存在1处瑕疵得24分，存在2处瑕疵得18分，存在3处瑕疵得12分，存在4处及以上瑕疵或未提供方案得6分，存在5处及以上瑕疵或未提供方案得0分。</w:t>
            </w:r>
          </w:p>
          <w:p w14:paraId="58F2B027">
            <w:pPr>
              <w:pStyle w:val="2"/>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项目背景认识：需结合招标方行业特性（如企业员工调研需提及 “组织效能提升需求”、政务调查需提及 “民生数据采集目标”），明确项目价值与招标方核心诉求，避免泛泛而谈；​</w:t>
            </w:r>
          </w:p>
          <w:p w14:paraId="6043B3DF">
            <w:pPr>
              <w:pStyle w:val="2"/>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2</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服务内容：需涵盖 “需求对接 - 方案输出 - 执行落地 - 成果交付” 全流程，明确各阶段服务边界（如需求对接包含 2 次线下 / 线上沟通）；​</w:t>
            </w:r>
          </w:p>
          <w:p w14:paraId="20B263A7">
            <w:pPr>
              <w:pStyle w:val="2"/>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3</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问卷设计：需说明设计流程（如 “需求拆解→初稿设计→招标方确认→预调研优化”），提及题型搭配逻辑（如支持≥15 种实用题型（含单选 / 多选 / 矩阵量表 / 文件上传（≤200MB）/ 地理位置采集 / 日期时段选择 / 下拉选择 / 填空题 / 评分题 / 排序题 / 关联题 / 跳转题））且具备逻辑控制（显隐分支 / 跳转规则自定义，支持多条件组合）；​</w:t>
            </w:r>
          </w:p>
          <w:p w14:paraId="56ABB142">
            <w:pPr>
              <w:pStyle w:val="2"/>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4</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问卷发放：需明确发放渠道（如企业微信 + 短信触达、政务平台嵌入等，至少 2 种有效渠道）、发放时间规划（如分 3 批次投放，避免集中拥堵）；​</w:t>
            </w:r>
          </w:p>
          <w:p w14:paraId="7486C01A">
            <w:pPr>
              <w:pStyle w:val="2"/>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5</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问卷回收：需说明回收监控机制（如实时查看回收率、针对未填写用户发送 2 次提醒）、无效问卷判定标准（如填写时长、答案重复视为无效）；</w:t>
            </w:r>
          </w:p>
          <w:p w14:paraId="4927EB5E">
            <w:pPr>
              <w:pStyle w:val="2"/>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6</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数据整理分析：需提及数据处理流程（如 “去重→清洗→分类统计”）、分析维度（如按部门 / 区域拆解数据）、交付成果形式（如 Excel 数据表 + 可视化报告）。</w:t>
            </w:r>
          </w:p>
        </w:tc>
        <w:tc>
          <w:tcPr>
            <w:tcW w:w="1887" w:type="dxa"/>
            <w:vMerge w:val="restart"/>
            <w:vAlign w:val="center"/>
          </w:tcPr>
          <w:p w14:paraId="64B000DA">
            <w:pPr>
              <w:keepNext w:val="0"/>
              <w:keepLines w:val="0"/>
              <w:pageBreakBefore w:val="0"/>
              <w:widowControl w:val="0"/>
              <w:kinsoku/>
              <w:wordWrap/>
              <w:overflowPunct/>
              <w:topLinePunct w:val="0"/>
              <w:autoSpaceDE/>
              <w:autoSpaceDN/>
              <w:bidi w:val="0"/>
              <w:adjustRightInd/>
              <w:snapToGrid w:val="0"/>
              <w:ind w:firstLine="28"/>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1.根据投标人提供的方案进行评分。</w:t>
            </w:r>
          </w:p>
          <w:p w14:paraId="0230847B">
            <w:pPr>
              <w:keepNext w:val="0"/>
              <w:keepLines w:val="0"/>
              <w:pageBreakBefore w:val="0"/>
              <w:widowControl w:val="0"/>
              <w:kinsoku/>
              <w:wordWrap/>
              <w:overflowPunct/>
              <w:topLinePunct w:val="0"/>
              <w:autoSpaceDE/>
              <w:autoSpaceDN/>
              <w:bidi w:val="0"/>
              <w:adjustRightInd/>
              <w:snapToGrid w:val="0"/>
              <w:ind w:firstLine="28"/>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2.评分标准中所称的“瑕疵”指以下任意一种情形：</w:t>
            </w:r>
          </w:p>
          <w:p w14:paraId="14366778">
            <w:pPr>
              <w:keepNext w:val="0"/>
              <w:keepLines w:val="0"/>
              <w:pageBreakBefore w:val="0"/>
              <w:widowControl w:val="0"/>
              <w:kinsoku/>
              <w:wordWrap/>
              <w:overflowPunct/>
              <w:topLinePunct w:val="0"/>
              <w:autoSpaceDE/>
              <w:autoSpaceDN/>
              <w:bidi w:val="0"/>
              <w:adjustRightInd/>
              <w:snapToGrid w:val="0"/>
              <w:ind w:firstLine="28"/>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①内容表述不完整或仅有标题而无实质意义叙述；</w:t>
            </w:r>
          </w:p>
          <w:p w14:paraId="09764718">
            <w:pPr>
              <w:keepNext w:val="0"/>
              <w:keepLines w:val="0"/>
              <w:pageBreakBefore w:val="0"/>
              <w:widowControl w:val="0"/>
              <w:kinsoku/>
              <w:wordWrap/>
              <w:overflowPunct/>
              <w:topLinePunct w:val="0"/>
              <w:autoSpaceDE/>
              <w:autoSpaceDN/>
              <w:bidi w:val="0"/>
              <w:adjustRightInd/>
              <w:snapToGrid w:val="0"/>
              <w:ind w:firstLine="28"/>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②计划及措施不科学合理；</w:t>
            </w:r>
          </w:p>
          <w:p w14:paraId="26D8D5EB">
            <w:pPr>
              <w:keepNext w:val="0"/>
              <w:keepLines w:val="0"/>
              <w:pageBreakBefore w:val="0"/>
              <w:widowControl w:val="0"/>
              <w:kinsoku/>
              <w:wordWrap/>
              <w:overflowPunct/>
              <w:topLinePunct w:val="0"/>
              <w:autoSpaceDE/>
              <w:autoSpaceDN/>
              <w:bidi w:val="0"/>
              <w:adjustRightInd/>
              <w:snapToGrid w:val="0"/>
              <w:ind w:firstLine="28"/>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③内容表述前后矛盾、无连贯性、内容存在逻辑漏洞；</w:t>
            </w:r>
          </w:p>
          <w:p w14:paraId="2C76D922">
            <w:pPr>
              <w:keepNext w:val="0"/>
              <w:keepLines w:val="0"/>
              <w:pageBreakBefore w:val="0"/>
              <w:widowControl w:val="0"/>
              <w:kinsoku/>
              <w:wordWrap/>
              <w:overflowPunct/>
              <w:topLinePunct w:val="0"/>
              <w:autoSpaceDE/>
              <w:autoSpaceDN/>
              <w:bidi w:val="0"/>
              <w:adjustRightInd/>
              <w:snapToGrid w:val="0"/>
              <w:ind w:firstLine="28"/>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④常识性错误；</w:t>
            </w:r>
          </w:p>
          <w:p w14:paraId="3EC977D1">
            <w:pPr>
              <w:keepNext w:val="0"/>
              <w:keepLines w:val="0"/>
              <w:pageBreakBefore w:val="0"/>
              <w:widowControl w:val="0"/>
              <w:kinsoku/>
              <w:wordWrap/>
              <w:overflowPunct/>
              <w:topLinePunct w:val="0"/>
              <w:autoSpaceDE/>
              <w:autoSpaceDN/>
              <w:bidi w:val="0"/>
              <w:adjustRightInd/>
              <w:snapToGrid w:val="0"/>
              <w:ind w:firstLine="28"/>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⑤措施安排并不适用本项目特性；</w:t>
            </w:r>
          </w:p>
          <w:p w14:paraId="1B137C8B">
            <w:pPr>
              <w:keepNext w:val="0"/>
              <w:keepLines w:val="0"/>
              <w:pageBreakBefore w:val="0"/>
              <w:widowControl w:val="0"/>
              <w:kinsoku/>
              <w:wordWrap/>
              <w:overflowPunct/>
              <w:topLinePunct w:val="0"/>
              <w:autoSpaceDE/>
              <w:autoSpaceDN/>
              <w:bidi w:val="0"/>
              <w:adjustRightInd/>
              <w:snapToGrid w:val="0"/>
              <w:ind w:firstLine="28"/>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⑥方案中提出的措施举措不利于本项目目标的实现；</w:t>
            </w:r>
          </w:p>
          <w:p w14:paraId="14B6FC77">
            <w:pPr>
              <w:keepNext w:val="0"/>
              <w:keepLines w:val="0"/>
              <w:pageBreakBefore w:val="0"/>
              <w:widowControl w:val="0"/>
              <w:kinsoku/>
              <w:wordWrap/>
              <w:overflowPunct/>
              <w:topLinePunct w:val="0"/>
              <w:autoSpaceDE/>
              <w:autoSpaceDN/>
              <w:bidi w:val="0"/>
              <w:adjustRightInd/>
              <w:snapToGrid w:val="0"/>
              <w:ind w:firstLine="28"/>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⑦现有技术条件下不可能实现采购目标。</w:t>
            </w:r>
          </w:p>
        </w:tc>
      </w:tr>
      <w:tr w14:paraId="679E4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532" w:type="dxa"/>
            <w:vMerge w:val="continue"/>
            <w:vAlign w:val="center"/>
          </w:tcPr>
          <w:p w14:paraId="0FF6642C">
            <w:pPr>
              <w:keepNext w:val="0"/>
              <w:keepLines w:val="0"/>
              <w:pageBreakBefore w:val="0"/>
              <w:widowControl w:val="0"/>
              <w:kinsoku/>
              <w:wordWrap/>
              <w:overflowPunct/>
              <w:topLinePunct w:val="0"/>
              <w:autoSpaceDE/>
              <w:autoSpaceDN/>
              <w:bidi w:val="0"/>
              <w:adjustRightInd/>
              <w:snapToGrid w:val="0"/>
              <w:ind w:firstLine="28"/>
              <w:textAlignment w:val="auto"/>
              <w:rPr>
                <w:rFonts w:hint="eastAsia" w:ascii="仿宋" w:hAnsi="仿宋" w:eastAsia="仿宋" w:cs="仿宋"/>
                <w:color w:val="auto"/>
                <w:sz w:val="18"/>
                <w:szCs w:val="18"/>
                <w:highlight w:val="none"/>
              </w:rPr>
            </w:pPr>
          </w:p>
        </w:tc>
        <w:tc>
          <w:tcPr>
            <w:tcW w:w="903" w:type="dxa"/>
            <w:vMerge w:val="continue"/>
            <w:vAlign w:val="center"/>
          </w:tcPr>
          <w:p w14:paraId="63F8323B">
            <w:pPr>
              <w:keepNext w:val="0"/>
              <w:keepLines w:val="0"/>
              <w:pageBreakBefore w:val="0"/>
              <w:widowControl w:val="0"/>
              <w:kinsoku/>
              <w:wordWrap/>
              <w:overflowPunct/>
              <w:topLinePunct w:val="0"/>
              <w:autoSpaceDE/>
              <w:autoSpaceDN/>
              <w:bidi w:val="0"/>
              <w:adjustRightInd/>
              <w:snapToGrid w:val="0"/>
              <w:ind w:firstLine="28"/>
              <w:textAlignment w:val="auto"/>
              <w:rPr>
                <w:rFonts w:hint="eastAsia" w:ascii="仿宋" w:hAnsi="仿宋" w:eastAsia="仿宋" w:cs="仿宋"/>
                <w:color w:val="auto"/>
                <w:sz w:val="18"/>
                <w:szCs w:val="18"/>
                <w:highlight w:val="none"/>
              </w:rPr>
            </w:pPr>
          </w:p>
        </w:tc>
        <w:tc>
          <w:tcPr>
            <w:tcW w:w="717" w:type="dxa"/>
            <w:vMerge w:val="continue"/>
            <w:vAlign w:val="center"/>
          </w:tcPr>
          <w:p w14:paraId="6D69575C">
            <w:pPr>
              <w:keepNext w:val="0"/>
              <w:keepLines w:val="0"/>
              <w:pageBreakBefore w:val="0"/>
              <w:widowControl w:val="0"/>
              <w:kinsoku/>
              <w:wordWrap/>
              <w:overflowPunct/>
              <w:topLinePunct w:val="0"/>
              <w:autoSpaceDE/>
              <w:autoSpaceDN/>
              <w:bidi w:val="0"/>
              <w:adjustRightInd/>
              <w:snapToGrid w:val="0"/>
              <w:ind w:firstLine="28"/>
              <w:textAlignment w:val="auto"/>
              <w:rPr>
                <w:rFonts w:hint="eastAsia" w:ascii="仿宋" w:hAnsi="仿宋" w:eastAsia="仿宋" w:cs="仿宋"/>
                <w:color w:val="auto"/>
                <w:sz w:val="18"/>
                <w:szCs w:val="18"/>
                <w:highlight w:val="none"/>
              </w:rPr>
            </w:pPr>
          </w:p>
        </w:tc>
        <w:tc>
          <w:tcPr>
            <w:tcW w:w="4739" w:type="dxa"/>
            <w:vAlign w:val="center"/>
          </w:tcPr>
          <w:p w14:paraId="2042AA5F">
            <w:pPr>
              <w:keepNext w:val="0"/>
              <w:keepLines w:val="0"/>
              <w:pageBreakBefore w:val="0"/>
              <w:widowControl w:val="0"/>
              <w:kinsoku/>
              <w:wordWrap/>
              <w:overflowPunct/>
              <w:topLinePunct w:val="0"/>
              <w:autoSpaceDE/>
              <w:autoSpaceDN/>
              <w:bidi w:val="0"/>
              <w:adjustRightInd/>
              <w:snapToGrid w:val="0"/>
              <w:ind w:firstLine="28"/>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2.</w:t>
            </w:r>
            <w:r>
              <w:rPr>
                <w:rFonts w:hint="eastAsia" w:ascii="仿宋" w:hAnsi="仿宋" w:eastAsia="仿宋" w:cs="仿宋"/>
                <w:color w:val="auto"/>
                <w:sz w:val="18"/>
                <w:szCs w:val="18"/>
                <w:highlight w:val="none"/>
                <w:lang w:val="en-US" w:eastAsia="zh-CN"/>
              </w:rPr>
              <w:t>对问卷调查的重点难点的分析及应对策略</w:t>
            </w:r>
            <w:r>
              <w:rPr>
                <w:rFonts w:hint="eastAsia" w:ascii="仿宋" w:hAnsi="仿宋" w:eastAsia="仿宋" w:cs="仿宋"/>
                <w:color w:val="auto"/>
                <w:sz w:val="18"/>
                <w:szCs w:val="18"/>
                <w:highlight w:val="none"/>
              </w:rPr>
              <w:t>（30分）</w:t>
            </w:r>
          </w:p>
          <w:p w14:paraId="631D7837">
            <w:pPr>
              <w:keepNext w:val="0"/>
              <w:keepLines w:val="0"/>
              <w:pageBreakBefore w:val="0"/>
              <w:widowControl w:val="0"/>
              <w:kinsoku/>
              <w:wordWrap/>
              <w:overflowPunct/>
              <w:topLinePunct w:val="0"/>
              <w:autoSpaceDE/>
              <w:autoSpaceDN/>
              <w:bidi w:val="0"/>
              <w:adjustRightInd/>
              <w:snapToGrid w:val="0"/>
              <w:ind w:firstLine="28"/>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内容包括：</w:t>
            </w:r>
            <w:r>
              <w:rPr>
                <w:rFonts w:hint="eastAsia" w:ascii="仿宋" w:hAnsi="仿宋" w:eastAsia="仿宋" w:cs="仿宋"/>
                <w:color w:val="auto"/>
                <w:sz w:val="18"/>
                <w:szCs w:val="18"/>
                <w:highlight w:val="none"/>
                <w:lang w:val="en-US" w:eastAsia="zh-CN"/>
              </w:rPr>
              <w:t>问卷设计的科学性、样本的代表性、数据分析的准备性、项目时间安排及保障措施等</w:t>
            </w:r>
            <w:r>
              <w:rPr>
                <w:rFonts w:hint="eastAsia" w:ascii="仿宋" w:hAnsi="仿宋" w:eastAsia="仿宋" w:cs="仿宋"/>
                <w:color w:val="auto"/>
                <w:sz w:val="18"/>
                <w:szCs w:val="18"/>
                <w:highlight w:val="none"/>
              </w:rPr>
              <w:t>。</w:t>
            </w:r>
          </w:p>
          <w:p w14:paraId="4A931C65">
            <w:pPr>
              <w:keepNext w:val="0"/>
              <w:keepLines w:val="0"/>
              <w:pageBreakBefore w:val="0"/>
              <w:widowControl w:val="0"/>
              <w:kinsoku/>
              <w:wordWrap/>
              <w:overflowPunct/>
              <w:topLinePunct w:val="0"/>
              <w:autoSpaceDE/>
              <w:autoSpaceDN/>
              <w:bidi w:val="0"/>
              <w:adjustRightInd/>
              <w:snapToGrid w:val="0"/>
              <w:ind w:firstLine="28"/>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阐述内容包含上述所有内容，且对各项内容均进行描述的基础上，内容不存在瑕疵得30分，阐述内容存在1处瑕疵得24分，存在2处瑕疵得18分，存在3处瑕疵得12分，存在4处及以上瑕疵或未提供方案得6分，存在5处及以上瑕疵或未提供方案得0分。</w:t>
            </w:r>
          </w:p>
          <w:p w14:paraId="2F68F782">
            <w:pPr>
              <w:pStyle w:val="2"/>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问卷设计科学性：需识别 “题型冗余导致填写意愿低”“问题表述歧义” 等难点，对应策略需具体（如 “通过预调研（样本量≥50 份）测试问题理解度，删除≥30% 用户误解的问题”）；​</w:t>
            </w:r>
          </w:p>
          <w:p w14:paraId="10792F67">
            <w:pPr>
              <w:pStyle w:val="2"/>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样本代表性：需识别 “样本覆盖不全（如遗漏基层员工）”“抽样偏差” 等难点，对应策略需明确抽样方法（如 “按部门人数分层抽样，每层样本占比与部门人数占比一致”）、样本量测算依据（如 “基于 95% 置信度、5% 误差率测算，总样本量≥400 份”）；​</w:t>
            </w:r>
          </w:p>
          <w:p w14:paraId="047FDADD">
            <w:pPr>
              <w:pStyle w:val="2"/>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数据分析准确性：需识别 “数据异常值干扰”“维度拆解不充分” 等难点，对应策略需可落地（如 “用 Excel 数据透视表筛选异常值，结合业务逻辑判定是否保留；按‘性别 + 岗位层级’双维度交叉分析”）；​</w:t>
            </w:r>
          </w:p>
          <w:p w14:paraId="7538D2C3">
            <w:pPr>
              <w:pStyle w:val="2"/>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项目时间安排：需识别 “需求确认延期”“问卷回收率不达标” 等时间风险，对应时间规划需分阶段（如 “需求对接 2 天→问卷设计 3 天→预调研 2 天→正式发放 5 天→回收分析 3 天”），明确各阶段交付节点；​</w:t>
            </w:r>
          </w:p>
          <w:p w14:paraId="6827F0B2">
            <w:pPr>
              <w:pStyle w:val="2"/>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保障措施：需涵盖人员保障（如配置 1 名项目负责人 + 2 名执行人员，明确分工）、质量保障（如问卷设计后经 3 轮审核：执行团队→技术团队→招标方）、风险保障（如回收率未达 80% 时，补充定向电话访谈 100 份样本）。</w:t>
            </w:r>
          </w:p>
          <w:p w14:paraId="4F3B5FC7">
            <w:pPr>
              <w:pStyle w:val="2"/>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highlight w:val="none"/>
              </w:rPr>
            </w:pPr>
          </w:p>
          <w:p w14:paraId="7FB1BAED">
            <w:pPr>
              <w:pStyle w:val="2"/>
              <w:keepNext w:val="0"/>
              <w:keepLines w:val="0"/>
              <w:pageBreakBefore w:val="0"/>
              <w:widowControl w:val="0"/>
              <w:kinsoku/>
              <w:wordWrap/>
              <w:overflowPunct/>
              <w:topLinePunct w:val="0"/>
              <w:autoSpaceDE/>
              <w:autoSpaceDN/>
              <w:bidi w:val="0"/>
              <w:adjustRightInd/>
              <w:snapToGrid w:val="0"/>
              <w:textAlignment w:val="auto"/>
              <w:rPr>
                <w:rFonts w:hint="eastAsia"/>
                <w:color w:val="auto"/>
                <w:highlight w:val="none"/>
              </w:rPr>
            </w:pPr>
          </w:p>
        </w:tc>
        <w:tc>
          <w:tcPr>
            <w:tcW w:w="1887" w:type="dxa"/>
            <w:vMerge w:val="continue"/>
            <w:vAlign w:val="center"/>
          </w:tcPr>
          <w:p w14:paraId="4877FBB2">
            <w:pPr>
              <w:keepNext w:val="0"/>
              <w:keepLines w:val="0"/>
              <w:pageBreakBefore w:val="0"/>
              <w:widowControl w:val="0"/>
              <w:kinsoku/>
              <w:wordWrap/>
              <w:overflowPunct/>
              <w:topLinePunct w:val="0"/>
              <w:autoSpaceDE/>
              <w:autoSpaceDN/>
              <w:bidi w:val="0"/>
              <w:adjustRightInd/>
              <w:snapToGrid w:val="0"/>
              <w:ind w:firstLine="28"/>
              <w:textAlignment w:val="auto"/>
              <w:rPr>
                <w:rFonts w:hint="eastAsia" w:ascii="仿宋" w:hAnsi="仿宋" w:eastAsia="仿宋" w:cs="仿宋"/>
                <w:color w:val="auto"/>
                <w:sz w:val="18"/>
                <w:szCs w:val="18"/>
                <w:highlight w:val="none"/>
              </w:rPr>
            </w:pPr>
          </w:p>
        </w:tc>
      </w:tr>
      <w:tr w14:paraId="4E106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8" w:hRule="atLeast"/>
          <w:jc w:val="center"/>
        </w:trPr>
        <w:tc>
          <w:tcPr>
            <w:tcW w:w="532" w:type="dxa"/>
            <w:vAlign w:val="center"/>
          </w:tcPr>
          <w:p w14:paraId="0C2BCA91">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3</w:t>
            </w:r>
          </w:p>
        </w:tc>
        <w:tc>
          <w:tcPr>
            <w:tcW w:w="903" w:type="dxa"/>
            <w:vAlign w:val="center"/>
          </w:tcPr>
          <w:p w14:paraId="34FE695F">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业绩部分（</w:t>
            </w:r>
            <w:r>
              <w:rPr>
                <w:rFonts w:hint="eastAsia" w:ascii="仿宋" w:hAnsi="仿宋" w:eastAsia="仿宋" w:cs="仿宋"/>
                <w:color w:val="auto"/>
                <w:sz w:val="18"/>
                <w:szCs w:val="18"/>
                <w:highlight w:val="none"/>
                <w:lang w:val="en-US" w:eastAsia="zh-CN"/>
              </w:rPr>
              <w:t>1</w:t>
            </w:r>
            <w:r>
              <w:rPr>
                <w:rFonts w:hint="eastAsia" w:ascii="仿宋" w:hAnsi="仿宋" w:eastAsia="仿宋" w:cs="仿宋"/>
                <w:color w:val="auto"/>
                <w:sz w:val="18"/>
                <w:szCs w:val="18"/>
                <w:highlight w:val="none"/>
              </w:rPr>
              <w:t>0%）</w:t>
            </w:r>
          </w:p>
        </w:tc>
        <w:tc>
          <w:tcPr>
            <w:tcW w:w="717" w:type="dxa"/>
            <w:vAlign w:val="center"/>
          </w:tcPr>
          <w:p w14:paraId="282EBCCE">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业绩（</w:t>
            </w:r>
            <w:r>
              <w:rPr>
                <w:rFonts w:hint="eastAsia" w:ascii="仿宋" w:hAnsi="仿宋" w:eastAsia="仿宋" w:cs="仿宋"/>
                <w:color w:val="auto"/>
                <w:sz w:val="18"/>
                <w:szCs w:val="18"/>
                <w:highlight w:val="none"/>
                <w:lang w:val="en-US" w:eastAsia="zh-CN"/>
              </w:rPr>
              <w:t>10</w:t>
            </w:r>
            <w:r>
              <w:rPr>
                <w:rFonts w:hint="eastAsia" w:ascii="仿宋" w:hAnsi="仿宋" w:eastAsia="仿宋" w:cs="仿宋"/>
                <w:color w:val="auto"/>
                <w:sz w:val="18"/>
                <w:szCs w:val="18"/>
                <w:highlight w:val="none"/>
              </w:rPr>
              <w:t>分）</w:t>
            </w:r>
          </w:p>
        </w:tc>
        <w:tc>
          <w:tcPr>
            <w:tcW w:w="4739" w:type="dxa"/>
            <w:vAlign w:val="center"/>
          </w:tcPr>
          <w:p w14:paraId="603B0878">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供应商2022年以来具备类似项目业绩经验，每提供一个合同得5分，最高</w:t>
            </w:r>
            <w:r>
              <w:rPr>
                <w:rFonts w:hint="eastAsia" w:ascii="仿宋" w:hAnsi="仿宋" w:eastAsia="仿宋" w:cs="仿宋"/>
                <w:color w:val="auto"/>
                <w:sz w:val="18"/>
                <w:szCs w:val="18"/>
                <w:highlight w:val="none"/>
                <w:lang w:val="en-US" w:eastAsia="zh-CN"/>
              </w:rPr>
              <w:t>1</w:t>
            </w:r>
            <w:r>
              <w:rPr>
                <w:rFonts w:hint="eastAsia" w:ascii="仿宋" w:hAnsi="仿宋" w:eastAsia="仿宋" w:cs="仿宋"/>
                <w:color w:val="auto"/>
                <w:sz w:val="18"/>
                <w:szCs w:val="18"/>
                <w:highlight w:val="none"/>
              </w:rPr>
              <w:t>0分。</w:t>
            </w:r>
          </w:p>
        </w:tc>
        <w:tc>
          <w:tcPr>
            <w:tcW w:w="1887" w:type="dxa"/>
            <w:vAlign w:val="center"/>
          </w:tcPr>
          <w:p w14:paraId="02426CB3">
            <w:pPr>
              <w:keepNext w:val="0"/>
              <w:keepLines w:val="0"/>
              <w:pageBreakBefore w:val="0"/>
              <w:widowControl w:val="0"/>
              <w:numPr>
                <w:ilvl w:val="0"/>
                <w:numId w:val="2"/>
              </w:numPr>
              <w:kinsoku/>
              <w:wordWrap/>
              <w:overflowPunct/>
              <w:topLinePunct w:val="0"/>
              <w:autoSpaceDE/>
              <w:autoSpaceDN/>
              <w:bidi w:val="0"/>
              <w:adjustRightInd/>
              <w:snapToGrid w:val="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提供合同复印件或中标通知书复印件并加盖公章。</w:t>
            </w:r>
          </w:p>
          <w:p w14:paraId="78D2C6F9">
            <w:pPr>
              <w:keepNext w:val="0"/>
              <w:keepLines w:val="0"/>
              <w:pageBreakBefore w:val="0"/>
              <w:widowControl w:val="0"/>
              <w:numPr>
                <w:ilvl w:val="0"/>
                <w:numId w:val="2"/>
              </w:numPr>
              <w:kinsoku/>
              <w:wordWrap/>
              <w:overflowPunct/>
              <w:topLinePunct w:val="0"/>
              <w:autoSpaceDE/>
              <w:autoSpaceDN/>
              <w:bidi w:val="0"/>
              <w:adjustRightInd/>
              <w:snapToGrid w:val="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供应商为该项目开具发票的凭证复印件并或该项目验收证明材料并加盖公章。</w:t>
            </w:r>
          </w:p>
          <w:p w14:paraId="66618BDE">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提供不完全者不得分。</w:t>
            </w:r>
          </w:p>
        </w:tc>
      </w:tr>
    </w:tbl>
    <w:p w14:paraId="7E9112DE">
      <w:pPr>
        <w:pStyle w:val="9"/>
        <w:spacing w:line="500" w:lineRule="exact"/>
        <w:ind w:firstLine="480" w:firstLineChars="200"/>
        <w:rPr>
          <w:rFonts w:ascii="宋体" w:hAnsi="宋体" w:cs="宋体"/>
          <w:color w:val="auto"/>
          <w:sz w:val="24"/>
          <w:szCs w:val="24"/>
          <w:highlight w:val="none"/>
        </w:rPr>
      </w:pPr>
    </w:p>
    <w:p w14:paraId="4C018BE3">
      <w:pPr>
        <w:pStyle w:val="9"/>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七、提交报价文件的份数和签署</w:t>
      </w:r>
    </w:p>
    <w:p w14:paraId="30E243D9">
      <w:pPr>
        <w:pStyle w:val="9"/>
        <w:ind w:firstLineChars="225"/>
        <w:rPr>
          <w:rFonts w:ascii="宋体" w:hAnsi="宋体" w:cs="宋体"/>
          <w:color w:val="auto"/>
          <w:sz w:val="24"/>
          <w:szCs w:val="24"/>
          <w:highlight w:val="none"/>
        </w:rPr>
      </w:pPr>
      <w:r>
        <w:rPr>
          <w:rFonts w:hint="eastAsia" w:ascii="宋体" w:hAnsi="宋体" w:cs="宋体"/>
          <w:color w:val="auto"/>
          <w:sz w:val="24"/>
          <w:szCs w:val="24"/>
          <w:highlight w:val="none"/>
        </w:rPr>
        <w:t>1. 报价文件一式一份。</w:t>
      </w:r>
    </w:p>
    <w:p w14:paraId="4361BB69">
      <w:pPr>
        <w:pStyle w:val="9"/>
        <w:ind w:firstLineChars="225"/>
        <w:rPr>
          <w:rFonts w:hint="eastAsia" w:ascii="宋体" w:hAnsi="宋体" w:cs="宋体"/>
          <w:color w:val="auto"/>
          <w:sz w:val="24"/>
          <w:szCs w:val="24"/>
          <w:highlight w:val="none"/>
        </w:rPr>
      </w:pPr>
      <w:r>
        <w:rPr>
          <w:rFonts w:hint="eastAsia" w:ascii="宋体" w:hAnsi="宋体" w:cs="宋体"/>
          <w:color w:val="auto"/>
          <w:sz w:val="24"/>
          <w:szCs w:val="24"/>
          <w:highlight w:val="none"/>
        </w:rPr>
        <w:t>2. 在报价文件中规定签署、盖章的地方必须按其规定签署、盖章。否则视为无效报价。</w:t>
      </w:r>
    </w:p>
    <w:p w14:paraId="4CCE6AFB">
      <w:pPr>
        <w:pStyle w:val="9"/>
        <w:ind w:firstLineChars="225"/>
        <w:rPr>
          <w:rFonts w:hint="eastAsia" w:ascii="宋体" w:hAnsi="宋体" w:cs="宋体"/>
          <w:color w:val="auto"/>
          <w:sz w:val="24"/>
          <w:szCs w:val="24"/>
          <w:highlight w:val="none"/>
        </w:rPr>
      </w:pPr>
    </w:p>
    <w:p w14:paraId="54EABD33">
      <w:pPr>
        <w:widowControl/>
        <w:spacing w:line="500" w:lineRule="exact"/>
        <w:ind w:firstLine="482" w:firstLineChars="200"/>
        <w:jc w:val="left"/>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八、付款方式：</w:t>
      </w:r>
    </w:p>
    <w:p w14:paraId="41904D14">
      <w:pPr>
        <w:widowControl/>
        <w:spacing w:line="5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合同签订后10个工作日内，支付合同总额的30%作为预付款。项目全部完成工作、交付最终报告且绩效达标，经课题组验收合格后10个工作日内，支付合同总额的70%。</w:t>
      </w:r>
      <w:r>
        <w:rPr>
          <w:rFonts w:hint="eastAsia" w:ascii="宋体" w:hAnsi="宋体" w:cs="宋体"/>
          <w:color w:val="auto"/>
          <w:sz w:val="24"/>
          <w:szCs w:val="24"/>
          <w:highlight w:val="none"/>
        </w:rPr>
        <w:t>；成交供应商应在我院支付经费之前提供有效票据，且成交供应商严格按照我院要求和格式提交相关资料，否则我院有权拒绝支付相关费用。</w:t>
      </w:r>
    </w:p>
    <w:p w14:paraId="6CE9DACC">
      <w:pPr>
        <w:widowControl/>
        <w:shd w:val="clear" w:color="auto" w:fill="FFFFFF"/>
        <w:spacing w:line="500" w:lineRule="exact"/>
        <w:ind w:firstLine="482" w:firstLineChars="200"/>
        <w:jc w:val="left"/>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九、报价要求</w:t>
      </w:r>
      <w:r>
        <w:rPr>
          <w:rFonts w:hint="eastAsia" w:ascii="宋体" w:hAnsi="宋体" w:cs="宋体"/>
          <w:b/>
          <w:color w:val="auto"/>
          <w:kern w:val="0"/>
          <w:sz w:val="24"/>
          <w:szCs w:val="24"/>
          <w:highlight w:val="none"/>
        </w:rPr>
        <w:tab/>
      </w:r>
    </w:p>
    <w:p w14:paraId="4B669EAE">
      <w:pPr>
        <w:widowControl/>
        <w:spacing w:line="500" w:lineRule="exact"/>
        <w:ind w:firstLine="600" w:firstLineChars="250"/>
        <w:jc w:val="left"/>
        <w:rPr>
          <w:rFonts w:ascii="宋体" w:hAnsi="宋体" w:cs="宋体"/>
          <w:color w:val="auto"/>
          <w:sz w:val="24"/>
          <w:szCs w:val="24"/>
          <w:highlight w:val="none"/>
        </w:rPr>
      </w:pPr>
      <w:r>
        <w:rPr>
          <w:rFonts w:hint="eastAsia" w:ascii="宋体" w:hAnsi="宋体" w:cs="宋体"/>
          <w:color w:val="auto"/>
          <w:sz w:val="24"/>
          <w:szCs w:val="24"/>
          <w:highlight w:val="none"/>
        </w:rPr>
        <w:t>报价文件请于2025年</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rPr>
        <w:t>日中午12：00时前以快递或当面送达的方式递交，凡超出上述时限送达的报价文件均拒绝接受并视为贵单位放弃参与本项目报价。报价统一采用本《询</w:t>
      </w:r>
      <w:r>
        <w:rPr>
          <w:rFonts w:hint="eastAsia" w:ascii="宋体" w:hAnsi="宋体" w:cs="宋体"/>
          <w:color w:val="auto"/>
          <w:sz w:val="24"/>
          <w:szCs w:val="24"/>
          <w:highlight w:val="none"/>
          <w:lang w:val="en-US" w:eastAsia="zh-CN"/>
        </w:rPr>
        <w:t>比</w:t>
      </w:r>
      <w:r>
        <w:rPr>
          <w:rFonts w:hint="eastAsia" w:ascii="宋体" w:hAnsi="宋体" w:cs="宋体"/>
          <w:color w:val="auto"/>
          <w:sz w:val="24"/>
          <w:szCs w:val="24"/>
          <w:highlight w:val="none"/>
        </w:rPr>
        <w:t>文件》附件报价函，否则视为无效报价。</w:t>
      </w:r>
    </w:p>
    <w:p w14:paraId="0DC7ED19">
      <w:pPr>
        <w:widowControl/>
        <w:spacing w:line="500" w:lineRule="exact"/>
        <w:ind w:firstLine="600" w:firstLineChars="250"/>
        <w:jc w:val="left"/>
        <w:rPr>
          <w:rFonts w:ascii="宋体" w:hAnsi="宋体" w:cs="宋体"/>
          <w:color w:val="auto"/>
          <w:sz w:val="24"/>
          <w:szCs w:val="24"/>
          <w:highlight w:val="none"/>
        </w:rPr>
      </w:pPr>
      <w:r>
        <w:rPr>
          <w:rFonts w:hint="eastAsia" w:ascii="宋体" w:hAnsi="宋体" w:cs="宋体"/>
          <w:color w:val="auto"/>
          <w:sz w:val="24"/>
          <w:szCs w:val="24"/>
          <w:highlight w:val="none"/>
        </w:rPr>
        <w:t>参与本项目</w:t>
      </w:r>
      <w:r>
        <w:rPr>
          <w:rFonts w:hint="eastAsia" w:ascii="宋体" w:hAnsi="宋体" w:cs="宋体"/>
          <w:color w:val="auto"/>
          <w:sz w:val="24"/>
          <w:szCs w:val="24"/>
          <w:highlight w:val="none"/>
          <w:lang w:eastAsia="zh-CN"/>
        </w:rPr>
        <w:t>询比</w:t>
      </w:r>
      <w:r>
        <w:rPr>
          <w:rFonts w:hint="eastAsia" w:ascii="宋体" w:hAnsi="宋体" w:cs="宋体"/>
          <w:color w:val="auto"/>
          <w:sz w:val="24"/>
          <w:szCs w:val="24"/>
          <w:highlight w:val="none"/>
        </w:rPr>
        <w:t>的供应商不足3家的，则本项目重新开展</w:t>
      </w:r>
      <w:r>
        <w:rPr>
          <w:rFonts w:hint="eastAsia" w:ascii="宋体" w:hAnsi="宋体" w:cs="宋体"/>
          <w:color w:val="auto"/>
          <w:sz w:val="24"/>
          <w:szCs w:val="24"/>
          <w:highlight w:val="none"/>
          <w:lang w:eastAsia="zh-CN"/>
        </w:rPr>
        <w:t>询比</w:t>
      </w:r>
      <w:r>
        <w:rPr>
          <w:rFonts w:hint="eastAsia" w:ascii="宋体" w:hAnsi="宋体" w:cs="宋体"/>
          <w:color w:val="auto"/>
          <w:sz w:val="24"/>
          <w:szCs w:val="24"/>
          <w:highlight w:val="none"/>
        </w:rPr>
        <w:t>。</w:t>
      </w:r>
    </w:p>
    <w:p w14:paraId="7778FADD">
      <w:pPr>
        <w:widowControl/>
        <w:spacing w:line="500" w:lineRule="exact"/>
        <w:ind w:firstLine="600" w:firstLineChars="25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联系人：李老师</w:t>
      </w:r>
    </w:p>
    <w:p w14:paraId="793460EA">
      <w:pPr>
        <w:widowControl/>
        <w:spacing w:line="500" w:lineRule="exact"/>
        <w:ind w:firstLine="600" w:firstLineChars="25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联系电话：023-6352</w:t>
      </w:r>
      <w:r>
        <w:rPr>
          <w:rFonts w:hint="eastAsia" w:ascii="宋体" w:hAnsi="宋体" w:cs="宋体"/>
          <w:color w:val="auto"/>
          <w:sz w:val="24"/>
          <w:szCs w:val="24"/>
          <w:highlight w:val="none"/>
        </w:rPr>
        <w:t>3574</w:t>
      </w:r>
    </w:p>
    <w:p w14:paraId="036B73F5">
      <w:pPr>
        <w:widowControl/>
        <w:spacing w:line="500" w:lineRule="exact"/>
        <w:ind w:firstLine="600" w:firstLineChars="25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邮寄地址：重庆市渝中区枇杷山正街72号重庆市文物考古研究院</w:t>
      </w:r>
    </w:p>
    <w:p w14:paraId="48FCAB9E">
      <w:pPr>
        <w:pStyle w:val="2"/>
        <w:rPr>
          <w:color w:val="auto"/>
          <w:highlight w:val="none"/>
        </w:rPr>
      </w:pPr>
    </w:p>
    <w:p w14:paraId="2273FE7E">
      <w:pPr>
        <w:pStyle w:val="4"/>
        <w:spacing w:line="500" w:lineRule="exact"/>
        <w:ind w:firstLine="482"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十、其他</w:t>
      </w:r>
    </w:p>
    <w:p w14:paraId="29BFDEAB">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 供应商向我院递交报价文件视为接受</w:t>
      </w:r>
      <w:r>
        <w:rPr>
          <w:rFonts w:hint="eastAsia" w:ascii="宋体" w:hAnsi="宋体" w:cs="宋体"/>
          <w:color w:val="auto"/>
          <w:sz w:val="24"/>
          <w:szCs w:val="24"/>
          <w:highlight w:val="none"/>
          <w:lang w:eastAsia="zh-CN"/>
        </w:rPr>
        <w:t>询比</w:t>
      </w:r>
      <w:r>
        <w:rPr>
          <w:rFonts w:hint="eastAsia" w:ascii="宋体" w:hAnsi="宋体" w:cs="宋体"/>
          <w:color w:val="auto"/>
          <w:sz w:val="24"/>
          <w:szCs w:val="24"/>
          <w:highlight w:val="none"/>
        </w:rPr>
        <w:t>文件上述条款，并承诺工作成果必须达到上述条款的要求。</w:t>
      </w:r>
    </w:p>
    <w:p w14:paraId="2DB6A96B">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 供应商须自行承诺其提供的响应文件中所有证明材料真实有效，不存在弄虚作假情形。</w:t>
      </w:r>
    </w:p>
    <w:p w14:paraId="2325D549">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 我院在采购合同签订前均有权对供应商提供的报价文件中所有内容进行核实，若发现弄虚作假，取消其成交资格，并按相关法律法规报上级主管部门或重庆市财政局监督部门处理，并承担因此造成的相关责任并赔偿相应损失。</w:t>
      </w:r>
    </w:p>
    <w:p w14:paraId="1E7A0978">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 在采购合同签订后发现供应商提供的报价文件存在弄虚作假情形，有权立即解除合同，有权不退还其履约保证金（如有），并按相关法律法规报上级主管部门或重庆市财政局监督部门处理，并承担因此造成的相关责任并赔偿相应损失。</w:t>
      </w:r>
    </w:p>
    <w:p w14:paraId="7CF550EB">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 凡有意参加</w:t>
      </w:r>
      <w:r>
        <w:rPr>
          <w:rFonts w:hint="eastAsia" w:ascii="宋体" w:hAnsi="宋体" w:cs="宋体"/>
          <w:color w:val="auto"/>
          <w:sz w:val="24"/>
          <w:szCs w:val="24"/>
          <w:highlight w:val="none"/>
          <w:lang w:eastAsia="zh-CN"/>
        </w:rPr>
        <w:t>询比</w:t>
      </w:r>
      <w:r>
        <w:rPr>
          <w:rFonts w:hint="eastAsia" w:ascii="宋体" w:hAnsi="宋体" w:cs="宋体"/>
          <w:color w:val="auto"/>
          <w:sz w:val="24"/>
          <w:szCs w:val="24"/>
          <w:highlight w:val="none"/>
        </w:rPr>
        <w:t>的供应商，请于公告发布之日起至报名截止时间之前，在重庆市文物考古研究院官网（www.cqkaogu.c</w:t>
      </w:r>
      <w:r>
        <w:rPr>
          <w:rFonts w:hint="eastAsia" w:ascii="宋体" w:hAnsi="宋体" w:cs="宋体"/>
          <w:color w:val="auto"/>
          <w:sz w:val="24"/>
          <w:szCs w:val="24"/>
          <w:highlight w:val="none"/>
          <w:lang w:val="en-US" w:eastAsia="zh-CN"/>
        </w:rPr>
        <w:t>n</w:t>
      </w:r>
      <w:r>
        <w:rPr>
          <w:rFonts w:hint="eastAsia" w:ascii="宋体" w:hAnsi="宋体" w:cs="宋体"/>
          <w:color w:val="auto"/>
          <w:sz w:val="24"/>
          <w:szCs w:val="24"/>
          <w:highlight w:val="none"/>
        </w:rPr>
        <w:t>）上下载查看本项目</w:t>
      </w:r>
      <w:r>
        <w:rPr>
          <w:rFonts w:hint="eastAsia" w:ascii="宋体" w:hAnsi="宋体" w:cs="宋体"/>
          <w:color w:val="auto"/>
          <w:sz w:val="24"/>
          <w:szCs w:val="24"/>
          <w:highlight w:val="none"/>
          <w:lang w:eastAsia="zh-CN"/>
        </w:rPr>
        <w:t>询比</w:t>
      </w:r>
      <w:r>
        <w:rPr>
          <w:rFonts w:hint="eastAsia" w:ascii="宋体" w:hAnsi="宋体" w:cs="宋体"/>
          <w:color w:val="auto"/>
          <w:sz w:val="24"/>
          <w:szCs w:val="24"/>
          <w:highlight w:val="none"/>
        </w:rPr>
        <w:t>文件以及变更公告等</w:t>
      </w:r>
      <w:r>
        <w:rPr>
          <w:rFonts w:hint="eastAsia" w:ascii="宋体" w:hAnsi="宋体" w:cs="宋体"/>
          <w:color w:val="auto"/>
          <w:sz w:val="24"/>
          <w:szCs w:val="24"/>
          <w:highlight w:val="none"/>
          <w:lang w:eastAsia="zh-CN"/>
        </w:rPr>
        <w:t>询比</w:t>
      </w:r>
      <w:r>
        <w:rPr>
          <w:rFonts w:hint="eastAsia" w:ascii="宋体" w:hAnsi="宋体" w:cs="宋体"/>
          <w:color w:val="auto"/>
          <w:sz w:val="24"/>
          <w:szCs w:val="24"/>
          <w:highlight w:val="none"/>
        </w:rPr>
        <w:t>前公布的所有项目资料，无论供应商下载查看与否，均视为已知晓所有</w:t>
      </w:r>
      <w:r>
        <w:rPr>
          <w:rFonts w:hint="eastAsia" w:ascii="宋体" w:hAnsi="宋体" w:cs="宋体"/>
          <w:color w:val="auto"/>
          <w:sz w:val="24"/>
          <w:szCs w:val="24"/>
          <w:highlight w:val="none"/>
          <w:lang w:eastAsia="zh-CN"/>
        </w:rPr>
        <w:t>询比</w:t>
      </w:r>
      <w:r>
        <w:rPr>
          <w:rFonts w:hint="eastAsia" w:ascii="宋体" w:hAnsi="宋体" w:cs="宋体"/>
          <w:color w:val="auto"/>
          <w:sz w:val="24"/>
          <w:szCs w:val="24"/>
          <w:highlight w:val="none"/>
        </w:rPr>
        <w:t>实质性要求内容。</w:t>
      </w:r>
    </w:p>
    <w:p w14:paraId="49A82AF9">
      <w:pPr>
        <w:spacing w:line="440" w:lineRule="exact"/>
        <w:ind w:firstLine="480" w:firstLineChars="200"/>
        <w:rPr>
          <w:rFonts w:ascii="宋体" w:hAnsi="宋体" w:cs="宋体"/>
          <w:color w:val="auto"/>
          <w:sz w:val="24"/>
          <w:szCs w:val="24"/>
          <w:highlight w:val="none"/>
        </w:rPr>
      </w:pPr>
      <w:r>
        <w:rPr>
          <w:rFonts w:hint="eastAsia" w:cs="宋体"/>
          <w:color w:val="auto"/>
          <w:sz w:val="24"/>
          <w:szCs w:val="24"/>
          <w:highlight w:val="none"/>
        </w:rPr>
        <w:t xml:space="preserve">6. </w:t>
      </w:r>
      <w:r>
        <w:rPr>
          <w:rFonts w:hint="eastAsia" w:ascii="宋体" w:hAnsi="宋体" w:cs="宋体"/>
          <w:color w:val="auto"/>
          <w:sz w:val="24"/>
          <w:szCs w:val="24"/>
          <w:highlight w:val="none"/>
        </w:rPr>
        <w:t>单位负责人为同一人或者存在直接控股、管理关系的不同供应商，不得同时参与此次</w:t>
      </w:r>
      <w:r>
        <w:rPr>
          <w:rFonts w:hint="eastAsia" w:ascii="宋体" w:hAnsi="宋体" w:cs="宋体"/>
          <w:color w:val="auto"/>
          <w:sz w:val="24"/>
          <w:szCs w:val="24"/>
          <w:highlight w:val="none"/>
          <w:lang w:eastAsia="zh-CN"/>
        </w:rPr>
        <w:t>询比</w:t>
      </w:r>
      <w:r>
        <w:rPr>
          <w:rFonts w:hint="eastAsia" w:ascii="宋体" w:hAnsi="宋体" w:cs="宋体"/>
          <w:color w:val="auto"/>
          <w:sz w:val="24"/>
          <w:szCs w:val="24"/>
          <w:highlight w:val="none"/>
        </w:rPr>
        <w:t>。</w:t>
      </w:r>
    </w:p>
    <w:p w14:paraId="330E1774">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 本项目不接受联合体参与评审。</w:t>
      </w:r>
    </w:p>
    <w:p w14:paraId="6345C04E">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8. 不允许分包、转包。</w:t>
      </w:r>
    </w:p>
    <w:p w14:paraId="7C55E4DF">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 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本院</w:t>
      </w:r>
      <w:r>
        <w:rPr>
          <w:rFonts w:hint="eastAsia" w:ascii="宋体" w:hAnsi="宋体" w:cs="宋体"/>
          <w:color w:val="auto"/>
          <w:sz w:val="24"/>
          <w:szCs w:val="24"/>
          <w:highlight w:val="none"/>
          <w:lang w:eastAsia="zh-CN"/>
        </w:rPr>
        <w:t>询比</w:t>
      </w:r>
      <w:r>
        <w:rPr>
          <w:rFonts w:hint="eastAsia" w:ascii="宋体" w:hAnsi="宋体" w:cs="宋体"/>
          <w:color w:val="auto"/>
          <w:sz w:val="24"/>
          <w:szCs w:val="24"/>
          <w:highlight w:val="none"/>
        </w:rPr>
        <w:t>。</w:t>
      </w:r>
    </w:p>
    <w:p w14:paraId="444E3FFB">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10. 其他未尽事宜由供需双方在采购合同中详细约定。</w:t>
      </w:r>
      <w:bookmarkStart w:id="0" w:name="_Toc4385"/>
      <w:bookmarkStart w:id="1" w:name="_Toc22527"/>
      <w:bookmarkStart w:id="2" w:name="_Toc22073"/>
      <w:bookmarkStart w:id="3" w:name="_Toc1282"/>
      <w:bookmarkStart w:id="4" w:name="_Toc26462"/>
      <w:bookmarkStart w:id="5" w:name="_Toc4905"/>
      <w:bookmarkStart w:id="6" w:name="_Toc9383"/>
      <w:bookmarkStart w:id="7" w:name="_Toc29974"/>
      <w:bookmarkStart w:id="8" w:name="_Toc25180"/>
      <w:bookmarkStart w:id="9" w:name="_Toc7138"/>
      <w:bookmarkStart w:id="10" w:name="_Toc22876"/>
      <w:bookmarkStart w:id="11" w:name="_Toc18883"/>
      <w:bookmarkStart w:id="12" w:name="_Toc16028"/>
      <w:bookmarkStart w:id="13" w:name="_Toc31704"/>
      <w:bookmarkStart w:id="14" w:name="_Toc12789072"/>
      <w:bookmarkStart w:id="15" w:name="_Toc10403"/>
      <w:bookmarkStart w:id="16" w:name="_Toc29396"/>
    </w:p>
    <w:p w14:paraId="5E3142AC">
      <w:pPr>
        <w:spacing w:line="440" w:lineRule="exact"/>
        <w:rPr>
          <w:rFonts w:ascii="宋体" w:hAnsi="宋体" w:cs="宋体"/>
          <w:color w:val="auto"/>
          <w:sz w:val="24"/>
          <w:szCs w:val="24"/>
          <w:highlight w:val="none"/>
        </w:rPr>
      </w:pPr>
    </w:p>
    <w:p w14:paraId="6C81DC26">
      <w:pPr>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rPr>
        <w:br w:type="page"/>
      </w:r>
    </w:p>
    <w:p w14:paraId="084FAFB8">
      <w:pPr>
        <w:widowControl/>
        <w:shd w:val="clear" w:color="auto" w:fill="FFFFFF"/>
        <w:spacing w:line="500" w:lineRule="exact"/>
        <w:ind w:firstLine="482" w:firstLineChars="200"/>
        <w:jc w:val="left"/>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第十一、响应文件格式要求</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68FC34DB">
      <w:pPr>
        <w:pStyle w:val="4"/>
        <w:spacing w:line="500" w:lineRule="exact"/>
        <w:ind w:firstLine="482"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一、经济文件</w:t>
      </w:r>
    </w:p>
    <w:p w14:paraId="1134E7E3">
      <w:pPr>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（一）报价表</w:t>
      </w:r>
    </w:p>
    <w:p w14:paraId="0B63AE13">
      <w:pPr>
        <w:spacing w:line="500" w:lineRule="exact"/>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二、服务文件</w:t>
      </w:r>
    </w:p>
    <w:p w14:paraId="3B54A8E6">
      <w:pPr>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（一）服务方案</w:t>
      </w:r>
    </w:p>
    <w:p w14:paraId="03A35FAA">
      <w:pPr>
        <w:spacing w:line="500" w:lineRule="exact"/>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三、业绩</w:t>
      </w:r>
    </w:p>
    <w:p w14:paraId="4B042928">
      <w:pPr>
        <w:spacing w:line="500" w:lineRule="exact"/>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四、资格文件</w:t>
      </w:r>
    </w:p>
    <w:p w14:paraId="387FFBFB">
      <w:pPr>
        <w:tabs>
          <w:tab w:val="left" w:pos="6300"/>
        </w:tabs>
        <w:spacing w:line="5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（一）营业执照（副本）或事业单位法人证书（副本）复印件</w:t>
      </w:r>
    </w:p>
    <w:p w14:paraId="538498AC">
      <w:pPr>
        <w:tabs>
          <w:tab w:val="left" w:pos="6300"/>
        </w:tabs>
        <w:spacing w:line="5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（二）法定代表人身份证明书（格式）</w:t>
      </w:r>
    </w:p>
    <w:p w14:paraId="053BAC72">
      <w:pPr>
        <w:tabs>
          <w:tab w:val="left" w:pos="6300"/>
        </w:tabs>
        <w:spacing w:line="5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（三）法定代表人授权委托书（格式）</w:t>
      </w:r>
    </w:p>
    <w:p w14:paraId="78C6A4EB">
      <w:pPr>
        <w:tabs>
          <w:tab w:val="left" w:pos="6300"/>
        </w:tabs>
        <w:spacing w:line="5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（四）基本资格条件承诺函（格式）</w:t>
      </w:r>
    </w:p>
    <w:p w14:paraId="0D0AD492">
      <w:pPr>
        <w:spacing w:line="500" w:lineRule="exact"/>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五、其他资料</w:t>
      </w:r>
    </w:p>
    <w:p w14:paraId="5E596475">
      <w:pPr>
        <w:tabs>
          <w:tab w:val="left" w:pos="6300"/>
        </w:tabs>
        <w:spacing w:line="5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（一）其他与项目有关的资料</w:t>
      </w:r>
    </w:p>
    <w:p w14:paraId="6653ABA6">
      <w:pPr>
        <w:tabs>
          <w:tab w:val="left" w:pos="6300"/>
        </w:tabs>
        <w:spacing w:line="500" w:lineRule="exact"/>
        <w:jc w:val="left"/>
        <w:rPr>
          <w:color w:val="auto"/>
          <w:highlight w:val="none"/>
        </w:rPr>
      </w:pPr>
    </w:p>
    <w:p w14:paraId="0AA8B171">
      <w:pPr>
        <w:pStyle w:val="7"/>
        <w:rPr>
          <w:color w:val="auto"/>
          <w:highlight w:val="none"/>
        </w:rPr>
      </w:pPr>
    </w:p>
    <w:p w14:paraId="5628BA73">
      <w:pPr>
        <w:rPr>
          <w:color w:val="auto"/>
          <w:highlight w:val="none"/>
        </w:rPr>
      </w:pPr>
    </w:p>
    <w:p w14:paraId="0963A2C8">
      <w:pPr>
        <w:pStyle w:val="7"/>
        <w:rPr>
          <w:color w:val="auto"/>
          <w:highlight w:val="none"/>
        </w:rPr>
      </w:pPr>
    </w:p>
    <w:p w14:paraId="4067B352">
      <w:pPr>
        <w:rPr>
          <w:rFonts w:hint="eastAsia"/>
          <w:color w:val="auto"/>
          <w:highlight w:val="none"/>
        </w:rPr>
      </w:pPr>
      <w:r>
        <w:rPr>
          <w:rFonts w:hint="eastAsia"/>
          <w:color w:val="auto"/>
          <w:highlight w:val="none"/>
        </w:rPr>
        <w:br w:type="page"/>
      </w:r>
    </w:p>
    <w:p w14:paraId="0FE840D4">
      <w:pPr>
        <w:spacing w:line="500" w:lineRule="exact"/>
        <w:ind w:firstLine="560" w:firstLineChars="200"/>
        <w:rPr>
          <w:color w:val="auto"/>
          <w:highlight w:val="none"/>
        </w:rPr>
      </w:pPr>
      <w:r>
        <w:rPr>
          <w:rFonts w:hint="eastAsia"/>
          <w:color w:val="auto"/>
          <w:highlight w:val="none"/>
        </w:rPr>
        <w:t>一、经济文件</w:t>
      </w:r>
    </w:p>
    <w:p w14:paraId="2A7FB68C">
      <w:pPr>
        <w:tabs>
          <w:tab w:val="left" w:pos="6300"/>
        </w:tabs>
        <w:snapToGrid w:val="0"/>
        <w:spacing w:line="500" w:lineRule="exact"/>
        <w:ind w:firstLine="723" w:firstLineChars="200"/>
        <w:jc w:val="center"/>
        <w:rPr>
          <w:rFonts w:ascii="宋体" w:hAnsi="宋体" w:cs="宋体"/>
          <w:b/>
          <w:color w:val="auto"/>
          <w:sz w:val="36"/>
          <w:szCs w:val="36"/>
          <w:highlight w:val="none"/>
        </w:rPr>
      </w:pPr>
      <w:r>
        <w:rPr>
          <w:rFonts w:hint="eastAsia" w:ascii="宋体" w:hAnsi="宋体" w:cs="宋体"/>
          <w:b/>
          <w:color w:val="auto"/>
          <w:sz w:val="36"/>
          <w:szCs w:val="36"/>
          <w:highlight w:val="none"/>
        </w:rPr>
        <w:t>报价表</w:t>
      </w:r>
    </w:p>
    <w:p w14:paraId="46629670">
      <w:pPr>
        <w:tabs>
          <w:tab w:val="left" w:pos="6300"/>
        </w:tabs>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highlight w:val="none"/>
          <w:u w:val="single"/>
        </w:rPr>
        <w:t>重庆市文物考古研究院（重庆文化遗产保护中心）</w:t>
      </w:r>
      <w:r>
        <w:rPr>
          <w:rFonts w:hint="eastAsia" w:ascii="宋体" w:hAnsi="宋体" w:cs="宋体"/>
          <w:color w:val="auto"/>
          <w:sz w:val="24"/>
          <w:szCs w:val="24"/>
          <w:highlight w:val="none"/>
        </w:rPr>
        <w:t>：</w:t>
      </w:r>
    </w:p>
    <w:p w14:paraId="74AA30C7">
      <w:pPr>
        <w:tabs>
          <w:tab w:val="left" w:pos="6300"/>
        </w:tabs>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我方收到（询比项目名称）的询比文件，经详细研究，决定参加该询比项目的报价。</w:t>
      </w:r>
    </w:p>
    <w:p w14:paraId="494F0587">
      <w:pPr>
        <w:tabs>
          <w:tab w:val="left" w:pos="6300"/>
        </w:tabs>
        <w:snapToGrid w:val="0"/>
        <w:spacing w:line="500" w:lineRule="exact"/>
        <w:ind w:left="278"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1.我方愿意按照询比文件中的一切要求，提供本项目的服务，最终报价为人民币：</w:t>
      </w:r>
      <w:r>
        <w:rPr>
          <w:rFonts w:hint="eastAsia" w:ascii="宋体" w:hAnsi="宋体" w:cs="宋体"/>
          <w:color w:val="auto"/>
          <w:sz w:val="24"/>
          <w:szCs w:val="24"/>
          <w:highlight w:val="none"/>
          <w:u w:val="single"/>
        </w:rPr>
        <w:t>元  ，大写：  整</w:t>
      </w:r>
      <w:r>
        <w:rPr>
          <w:rFonts w:hint="eastAsia" w:ascii="宋体" w:hAnsi="宋体" w:cs="宋体"/>
          <w:color w:val="auto"/>
          <w:sz w:val="24"/>
          <w:szCs w:val="24"/>
          <w:highlight w:val="none"/>
        </w:rPr>
        <w:t>。</w:t>
      </w:r>
    </w:p>
    <w:p w14:paraId="34810202">
      <w:pPr>
        <w:tabs>
          <w:tab w:val="left" w:pos="6300"/>
        </w:tabs>
        <w:snapToGrid w:val="0"/>
        <w:spacing w:line="500" w:lineRule="exact"/>
        <w:ind w:left="278"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2.我方完全理解并接受该项目询比文件所有要求。</w:t>
      </w:r>
    </w:p>
    <w:p w14:paraId="093A279B">
      <w:pPr>
        <w:tabs>
          <w:tab w:val="left" w:pos="6300"/>
        </w:tabs>
        <w:snapToGrid w:val="0"/>
        <w:spacing w:line="500" w:lineRule="exact"/>
        <w:ind w:left="278"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3.我方提交的所有文件、资料都是准确和真实的，如有虚假或隐瞒，我方愿意承担一切法律责任。</w:t>
      </w:r>
    </w:p>
    <w:p w14:paraId="01A0C4EB">
      <w:pPr>
        <w:tabs>
          <w:tab w:val="left" w:pos="6300"/>
        </w:tabs>
        <w:snapToGrid w:val="0"/>
        <w:spacing w:line="500" w:lineRule="exact"/>
        <w:ind w:left="278"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4.我方承诺按照询比文件要求，提供招标项目的服务。</w:t>
      </w:r>
    </w:p>
    <w:p w14:paraId="1161A661">
      <w:pPr>
        <w:tabs>
          <w:tab w:val="left" w:pos="6300"/>
        </w:tabs>
        <w:snapToGrid w:val="0"/>
        <w:spacing w:line="500" w:lineRule="exact"/>
        <w:ind w:left="278"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5.我方按询比文件要求提交的响应文件为：正本1份，副本1份。</w:t>
      </w:r>
    </w:p>
    <w:p w14:paraId="6D61A860">
      <w:pPr>
        <w:tabs>
          <w:tab w:val="left" w:pos="6300"/>
        </w:tabs>
        <w:snapToGrid w:val="0"/>
        <w:spacing w:line="500" w:lineRule="exact"/>
        <w:ind w:left="278"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5.我方报价为闭口价。即在有效期和合同有效期内，该报价固定不变。</w:t>
      </w:r>
    </w:p>
    <w:p w14:paraId="4A81B2F2">
      <w:pPr>
        <w:tabs>
          <w:tab w:val="left" w:pos="6300"/>
        </w:tabs>
        <w:snapToGrid w:val="0"/>
        <w:spacing w:line="500" w:lineRule="exact"/>
        <w:ind w:left="278"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7.如果我方成交，我方将履行询比文件中规定的各项要求以及我方文件的各项承诺，《中华人民共和国政府采购法》、《中华人民共和国民法典》及合同约定条款承担我方责任。</w:t>
      </w:r>
    </w:p>
    <w:p w14:paraId="2A08E4AC">
      <w:pPr>
        <w:tabs>
          <w:tab w:val="left" w:pos="6300"/>
        </w:tabs>
        <w:snapToGrid w:val="0"/>
        <w:spacing w:line="500" w:lineRule="exact"/>
        <w:ind w:left="278"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8.我方理解，最低报价不是成交的唯一条件。</w:t>
      </w:r>
    </w:p>
    <w:p w14:paraId="0E8BFE62">
      <w:pPr>
        <w:tabs>
          <w:tab w:val="left" w:pos="6300"/>
        </w:tabs>
        <w:snapToGrid w:val="0"/>
        <w:spacing w:line="500" w:lineRule="exact"/>
        <w:ind w:left="278"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9.我方同意按有关规定及询比文件要求。</w:t>
      </w:r>
    </w:p>
    <w:p w14:paraId="3E418DFD">
      <w:pPr>
        <w:tabs>
          <w:tab w:val="left" w:pos="6300"/>
        </w:tabs>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供应商（公章）签署：</w:t>
      </w:r>
    </w:p>
    <w:p w14:paraId="52ED8D37">
      <w:pPr>
        <w:pStyle w:val="11"/>
        <w:snapToGrid w:val="0"/>
        <w:spacing w:line="500" w:lineRule="exact"/>
        <w:ind w:firstLine="480" w:firstLineChars="200"/>
        <w:rPr>
          <w:rFonts w:eastAsia="宋体"/>
          <w:color w:val="auto"/>
          <w:highlight w:val="none"/>
        </w:rPr>
      </w:pPr>
      <w:r>
        <w:rPr>
          <w:rFonts w:hint="eastAsia" w:eastAsia="宋体" w:cs="宋体"/>
          <w:color w:val="auto"/>
          <w:szCs w:val="24"/>
          <w:highlight w:val="none"/>
        </w:rPr>
        <w:t>法定代表人（签字）：</w:t>
      </w:r>
    </w:p>
    <w:p w14:paraId="43C8EC54">
      <w:pPr>
        <w:tabs>
          <w:tab w:val="left" w:pos="6300"/>
        </w:tabs>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地址：   </w:t>
      </w:r>
    </w:p>
    <w:p w14:paraId="7094E2E3">
      <w:pPr>
        <w:tabs>
          <w:tab w:val="left" w:pos="6300"/>
        </w:tabs>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电话：                           传真：</w:t>
      </w:r>
    </w:p>
    <w:p w14:paraId="21944E78">
      <w:pPr>
        <w:tabs>
          <w:tab w:val="left" w:pos="6300"/>
        </w:tabs>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网址：                           邮编：</w:t>
      </w:r>
    </w:p>
    <w:p w14:paraId="0104A908">
      <w:pPr>
        <w:tabs>
          <w:tab w:val="left" w:pos="6300"/>
        </w:tabs>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联系人：</w:t>
      </w:r>
    </w:p>
    <w:p w14:paraId="06472F48">
      <w:pPr>
        <w:snapToGrid w:val="0"/>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14:paraId="1D3DBD2D">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p>
    <w:p w14:paraId="432C86BC">
      <w:pPr>
        <w:pStyle w:val="7"/>
        <w:rPr>
          <w:rFonts w:hint="eastAsia"/>
          <w:color w:val="auto"/>
          <w:highlight w:val="none"/>
        </w:rPr>
      </w:pPr>
    </w:p>
    <w:p w14:paraId="428DBA3E">
      <w:pPr>
        <w:numPr>
          <w:ilvl w:val="0"/>
          <w:numId w:val="3"/>
        </w:numPr>
        <w:adjustRightInd w:val="0"/>
        <w:snapToGrid w:val="0"/>
        <w:spacing w:line="500" w:lineRule="exact"/>
        <w:ind w:firstLine="560" w:firstLineChars="200"/>
        <w:rPr>
          <w:rFonts w:ascii="宋体" w:hAnsi="宋体" w:cs="宋体"/>
          <w:color w:val="auto"/>
          <w:highlight w:val="none"/>
        </w:rPr>
      </w:pPr>
      <w:r>
        <w:rPr>
          <w:rFonts w:hint="eastAsia" w:ascii="宋体" w:hAnsi="宋体" w:cs="宋体"/>
          <w:color w:val="auto"/>
          <w:highlight w:val="none"/>
        </w:rPr>
        <w:t>服务文件</w:t>
      </w:r>
    </w:p>
    <w:p w14:paraId="33420FF2">
      <w:pPr>
        <w:adjustRightInd w:val="0"/>
        <w:snapToGrid w:val="0"/>
        <w:spacing w:line="500" w:lineRule="exact"/>
        <w:ind w:firstLine="560" w:firstLineChars="200"/>
        <w:rPr>
          <w:rFonts w:ascii="宋体" w:hAnsi="宋体" w:cs="宋体"/>
          <w:color w:val="auto"/>
          <w:highlight w:val="none"/>
        </w:rPr>
      </w:pPr>
      <w:r>
        <w:rPr>
          <w:rFonts w:hint="eastAsia" w:ascii="宋体" w:hAnsi="宋体" w:cs="宋体"/>
          <w:color w:val="auto"/>
          <w:highlight w:val="none"/>
        </w:rPr>
        <w:t>（一）服务方案</w:t>
      </w:r>
    </w:p>
    <w:p w14:paraId="402B5455">
      <w:pPr>
        <w:adjustRightInd w:val="0"/>
        <w:snapToGrid w:val="0"/>
        <w:spacing w:line="500" w:lineRule="exact"/>
        <w:ind w:firstLine="560" w:firstLineChars="200"/>
        <w:rPr>
          <w:rFonts w:ascii="宋体" w:hAnsi="宋体" w:cs="宋体"/>
          <w:color w:val="auto"/>
          <w:highlight w:val="none"/>
        </w:rPr>
      </w:pPr>
      <w:r>
        <w:rPr>
          <w:rFonts w:hint="eastAsia" w:ascii="宋体" w:hAnsi="宋体" w:cs="宋体"/>
          <w:color w:val="auto"/>
          <w:highlight w:val="none"/>
        </w:rPr>
        <w:br w:type="page"/>
      </w:r>
    </w:p>
    <w:p w14:paraId="0C1BD4B9">
      <w:pPr>
        <w:numPr>
          <w:ilvl w:val="0"/>
          <w:numId w:val="3"/>
        </w:numPr>
        <w:adjustRightInd w:val="0"/>
        <w:snapToGrid w:val="0"/>
        <w:spacing w:line="500" w:lineRule="exact"/>
        <w:ind w:firstLine="560" w:firstLineChars="200"/>
        <w:rPr>
          <w:rFonts w:ascii="宋体" w:hAnsi="宋体" w:cs="宋体"/>
          <w:color w:val="auto"/>
          <w:highlight w:val="none"/>
        </w:rPr>
      </w:pPr>
      <w:r>
        <w:rPr>
          <w:rFonts w:hint="eastAsia" w:ascii="宋体" w:hAnsi="宋体" w:cs="宋体"/>
          <w:color w:val="auto"/>
          <w:highlight w:val="none"/>
        </w:rPr>
        <w:t>业绩</w:t>
      </w:r>
    </w:p>
    <w:p w14:paraId="3BD13F74">
      <w:pPr>
        <w:rPr>
          <w:rFonts w:ascii="宋体" w:hAnsi="宋体" w:cs="宋体"/>
          <w:color w:val="auto"/>
          <w:highlight w:val="none"/>
        </w:rPr>
      </w:pPr>
      <w:r>
        <w:rPr>
          <w:rFonts w:hint="eastAsia" w:ascii="宋体" w:hAnsi="宋体" w:cs="宋体"/>
          <w:color w:val="auto"/>
          <w:highlight w:val="none"/>
        </w:rPr>
        <w:br w:type="page"/>
      </w:r>
    </w:p>
    <w:p w14:paraId="08254F88">
      <w:pPr>
        <w:numPr>
          <w:ilvl w:val="0"/>
          <w:numId w:val="3"/>
        </w:numPr>
        <w:adjustRightInd w:val="0"/>
        <w:snapToGrid w:val="0"/>
        <w:spacing w:line="500" w:lineRule="exact"/>
        <w:ind w:firstLine="560" w:firstLineChars="200"/>
        <w:rPr>
          <w:rFonts w:ascii="宋体" w:hAnsi="宋体" w:cs="宋体"/>
          <w:color w:val="auto"/>
          <w:highlight w:val="none"/>
        </w:rPr>
      </w:pPr>
      <w:r>
        <w:rPr>
          <w:rFonts w:hint="eastAsia" w:ascii="宋体" w:hAnsi="宋体" w:cs="宋体"/>
          <w:color w:val="auto"/>
          <w:highlight w:val="none"/>
        </w:rPr>
        <w:t>资格文件</w:t>
      </w:r>
    </w:p>
    <w:p w14:paraId="30DC8ED5">
      <w:pPr>
        <w:tabs>
          <w:tab w:val="left" w:pos="6300"/>
        </w:tabs>
        <w:adjustRightInd w:val="0"/>
        <w:snapToGrid w:val="0"/>
        <w:spacing w:line="5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（一）营业执照（副本）或事业单位法人证书（副本）复印件</w:t>
      </w:r>
    </w:p>
    <w:p w14:paraId="739AEA84">
      <w:pPr>
        <w:adjustRightInd w:val="0"/>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br w:type="page"/>
      </w:r>
    </w:p>
    <w:p w14:paraId="7519CCAD">
      <w:pPr>
        <w:numPr>
          <w:ilvl w:val="0"/>
          <w:numId w:val="4"/>
        </w:numPr>
        <w:tabs>
          <w:tab w:val="left" w:pos="6300"/>
        </w:tabs>
        <w:adjustRightInd w:val="0"/>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法定代表人身份证明书（格式）</w:t>
      </w:r>
    </w:p>
    <w:p w14:paraId="7BE30376">
      <w:pPr>
        <w:tabs>
          <w:tab w:val="left" w:pos="630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p>
    <w:p w14:paraId="4B16B340">
      <w:pPr>
        <w:tabs>
          <w:tab w:val="left" w:pos="6300"/>
        </w:tabs>
        <w:adjustRightInd w:val="0"/>
        <w:snapToGrid w:val="0"/>
        <w:spacing w:line="500" w:lineRule="exact"/>
        <w:rPr>
          <w:rFonts w:ascii="宋体" w:hAnsi="宋体" w:cs="宋体"/>
          <w:color w:val="auto"/>
          <w:sz w:val="24"/>
          <w:highlight w:val="none"/>
        </w:rPr>
      </w:pPr>
    </w:p>
    <w:p w14:paraId="1EA113EA">
      <w:pPr>
        <w:tabs>
          <w:tab w:val="left" w:pos="630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重庆市文物考古研究院（重庆文化遗产保护中心） </w:t>
      </w:r>
      <w:r>
        <w:rPr>
          <w:rFonts w:hint="eastAsia" w:ascii="宋体" w:hAnsi="宋体" w:cs="宋体"/>
          <w:color w:val="auto"/>
          <w:sz w:val="24"/>
          <w:highlight w:val="none"/>
        </w:rPr>
        <w:t>：</w:t>
      </w:r>
    </w:p>
    <w:p w14:paraId="5BBE824B">
      <w:pPr>
        <w:tabs>
          <w:tab w:val="left" w:pos="630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（法定代表人姓名）在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（供应商名称）任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（职务名称）职务，是（供应商名称）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的法定代表人。</w:t>
      </w:r>
    </w:p>
    <w:p w14:paraId="21DE9C3C">
      <w:pPr>
        <w:tabs>
          <w:tab w:val="left" w:pos="6300"/>
        </w:tabs>
        <w:adjustRightInd w:val="0"/>
        <w:snapToGrid w:val="0"/>
        <w:spacing w:line="500" w:lineRule="exact"/>
        <w:rPr>
          <w:rFonts w:ascii="宋体" w:hAnsi="宋体" w:cs="宋体"/>
          <w:color w:val="auto"/>
          <w:sz w:val="24"/>
          <w:highlight w:val="none"/>
        </w:rPr>
      </w:pPr>
    </w:p>
    <w:p w14:paraId="15630EAF">
      <w:pPr>
        <w:tabs>
          <w:tab w:val="left" w:pos="630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特此证明。</w:t>
      </w:r>
    </w:p>
    <w:p w14:paraId="593480E6">
      <w:pPr>
        <w:tabs>
          <w:tab w:val="left" w:pos="6300"/>
        </w:tabs>
        <w:adjustRightInd w:val="0"/>
        <w:snapToGrid w:val="0"/>
        <w:spacing w:line="500" w:lineRule="exact"/>
        <w:rPr>
          <w:rFonts w:ascii="宋体" w:hAnsi="宋体" w:cs="宋体"/>
          <w:color w:val="auto"/>
          <w:sz w:val="24"/>
          <w:highlight w:val="none"/>
        </w:rPr>
      </w:pPr>
    </w:p>
    <w:p w14:paraId="0389EC65">
      <w:pPr>
        <w:tabs>
          <w:tab w:val="left" w:pos="6300"/>
        </w:tabs>
        <w:adjustRightInd w:val="0"/>
        <w:snapToGrid w:val="0"/>
        <w:spacing w:line="500" w:lineRule="exact"/>
        <w:rPr>
          <w:rFonts w:ascii="宋体" w:hAnsi="宋体" w:cs="宋体"/>
          <w:color w:val="auto"/>
          <w:sz w:val="24"/>
          <w:highlight w:val="none"/>
        </w:rPr>
      </w:pPr>
    </w:p>
    <w:p w14:paraId="0FE6A8D6">
      <w:pPr>
        <w:tabs>
          <w:tab w:val="left" w:pos="6300"/>
        </w:tabs>
        <w:adjustRightInd w:val="0"/>
        <w:snapToGrid w:val="0"/>
        <w:spacing w:line="500" w:lineRule="exact"/>
        <w:rPr>
          <w:rFonts w:ascii="宋体" w:hAnsi="宋体" w:cs="宋体"/>
          <w:color w:val="auto"/>
          <w:sz w:val="24"/>
          <w:highlight w:val="none"/>
        </w:rPr>
      </w:pPr>
    </w:p>
    <w:p w14:paraId="5EEE756F">
      <w:pPr>
        <w:tabs>
          <w:tab w:val="left" w:pos="630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                                             （供应商公章）</w:t>
      </w:r>
    </w:p>
    <w:p w14:paraId="21299EB7">
      <w:pPr>
        <w:tabs>
          <w:tab w:val="left" w:pos="6300"/>
        </w:tabs>
        <w:adjustRightInd w:val="0"/>
        <w:snapToGrid w:val="0"/>
        <w:spacing w:line="500" w:lineRule="exact"/>
        <w:rPr>
          <w:rFonts w:ascii="宋体" w:hAnsi="宋体" w:cs="宋体"/>
          <w:color w:val="auto"/>
          <w:sz w:val="24"/>
          <w:highlight w:val="none"/>
        </w:rPr>
      </w:pPr>
    </w:p>
    <w:p w14:paraId="14D64CCE">
      <w:pPr>
        <w:tabs>
          <w:tab w:val="left" w:pos="630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                                             年   月   日</w:t>
      </w:r>
    </w:p>
    <w:p w14:paraId="0A49AAE1">
      <w:pPr>
        <w:tabs>
          <w:tab w:val="left" w:pos="6300"/>
        </w:tabs>
        <w:adjustRightInd w:val="0"/>
        <w:snapToGrid w:val="0"/>
        <w:spacing w:line="500" w:lineRule="exact"/>
        <w:rPr>
          <w:rFonts w:ascii="宋体" w:hAnsi="宋体" w:cs="宋体"/>
          <w:color w:val="auto"/>
          <w:sz w:val="24"/>
          <w:highlight w:val="none"/>
        </w:rPr>
      </w:pPr>
    </w:p>
    <w:p w14:paraId="70E2F8B1">
      <w:pPr>
        <w:tabs>
          <w:tab w:val="left" w:pos="630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法定代表人电话：XXXXXXX      电子邮箱：XXXXXX@XXXXX（若授权他人办理并签署响应文件的可不填写）</w:t>
      </w:r>
    </w:p>
    <w:p w14:paraId="4EE41A31">
      <w:pPr>
        <w:tabs>
          <w:tab w:val="left" w:pos="630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（附：法定代表人身份证正反面复印件）</w:t>
      </w:r>
    </w:p>
    <w:p w14:paraId="3E4189C3">
      <w:pPr>
        <w:tabs>
          <w:tab w:val="left" w:pos="6300"/>
        </w:tabs>
        <w:adjustRightInd w:val="0"/>
        <w:snapToGrid w:val="0"/>
        <w:spacing w:line="500" w:lineRule="exact"/>
        <w:rPr>
          <w:rFonts w:ascii="宋体" w:hAnsi="宋体" w:cs="宋体"/>
          <w:color w:val="auto"/>
          <w:sz w:val="24"/>
          <w:highlight w:val="none"/>
        </w:rPr>
      </w:pPr>
    </w:p>
    <w:p w14:paraId="676D64C2">
      <w:pPr>
        <w:adjustRightInd w:val="0"/>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br w:type="page"/>
      </w:r>
    </w:p>
    <w:p w14:paraId="03B87615">
      <w:pPr>
        <w:numPr>
          <w:ilvl w:val="0"/>
          <w:numId w:val="4"/>
        </w:numPr>
        <w:tabs>
          <w:tab w:val="left" w:pos="6300"/>
        </w:tabs>
        <w:adjustRightInd w:val="0"/>
        <w:snapToGrid w:val="0"/>
        <w:spacing w:line="5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法定代表人授权委托书（格式）</w:t>
      </w:r>
    </w:p>
    <w:p w14:paraId="775A62EC">
      <w:pPr>
        <w:tabs>
          <w:tab w:val="left" w:pos="6300"/>
        </w:tabs>
        <w:adjustRightInd w:val="0"/>
        <w:snapToGrid w:val="0"/>
        <w:spacing w:line="500" w:lineRule="exact"/>
        <w:rPr>
          <w:rFonts w:ascii="宋体" w:hAnsi="宋体" w:cs="宋体"/>
          <w:color w:val="auto"/>
          <w:sz w:val="24"/>
          <w:szCs w:val="28"/>
          <w:highlight w:val="none"/>
        </w:rPr>
      </w:pPr>
    </w:p>
    <w:p w14:paraId="3D98A6EA">
      <w:pPr>
        <w:tabs>
          <w:tab w:val="left" w:pos="630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szCs w:val="28"/>
          <w:highlight w:val="none"/>
        </w:rPr>
        <w:t>项目名称</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p>
    <w:p w14:paraId="3878E142">
      <w:pPr>
        <w:tabs>
          <w:tab w:val="left" w:pos="6300"/>
        </w:tabs>
        <w:adjustRightInd w:val="0"/>
        <w:snapToGrid w:val="0"/>
        <w:spacing w:line="500" w:lineRule="exact"/>
        <w:rPr>
          <w:rFonts w:ascii="宋体" w:hAnsi="宋体" w:cs="宋体"/>
          <w:color w:val="auto"/>
          <w:sz w:val="24"/>
          <w:highlight w:val="none"/>
        </w:rPr>
      </w:pPr>
    </w:p>
    <w:p w14:paraId="35677123">
      <w:pPr>
        <w:tabs>
          <w:tab w:val="left" w:pos="630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重庆市文物考古研究院（重庆文化遗产保护中心）</w:t>
      </w:r>
      <w:r>
        <w:rPr>
          <w:rFonts w:hint="eastAsia" w:ascii="宋体" w:hAnsi="宋体" w:cs="宋体"/>
          <w:color w:val="auto"/>
          <w:sz w:val="24"/>
          <w:highlight w:val="none"/>
        </w:rPr>
        <w:t>：</w:t>
      </w:r>
    </w:p>
    <w:p w14:paraId="74FBC398">
      <w:pPr>
        <w:tabs>
          <w:tab w:val="left" w:pos="630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（供应商法定代表人名称）是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（供应商名称）的法定代表人，特授权</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（被授权人姓名及身份证代码）代表我单位全权办理上述项目的响应、谈判、签约等具体工作，并签署全部有关文件、协议及合同。</w:t>
      </w:r>
    </w:p>
    <w:p w14:paraId="3B9DD613">
      <w:pPr>
        <w:tabs>
          <w:tab w:val="left" w:pos="630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我单位对被授权人的签字负全部责任。</w:t>
      </w:r>
    </w:p>
    <w:p w14:paraId="082E935A">
      <w:pPr>
        <w:tabs>
          <w:tab w:val="left" w:pos="630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在撤消授权的书面通知以前，本授权书一直有效。被授权人在授权书有效期内签署的所有文件不因授权的撤消而失效。</w:t>
      </w:r>
    </w:p>
    <w:p w14:paraId="5E5F528E">
      <w:pPr>
        <w:tabs>
          <w:tab w:val="left" w:pos="6300"/>
        </w:tabs>
        <w:adjustRightInd w:val="0"/>
        <w:snapToGrid w:val="0"/>
        <w:spacing w:line="500" w:lineRule="exact"/>
        <w:rPr>
          <w:rFonts w:ascii="宋体" w:hAnsi="宋体" w:cs="宋体"/>
          <w:color w:val="auto"/>
          <w:sz w:val="24"/>
          <w:highlight w:val="none"/>
        </w:rPr>
      </w:pPr>
    </w:p>
    <w:p w14:paraId="7F6A3D98">
      <w:pPr>
        <w:tabs>
          <w:tab w:val="left" w:pos="6300"/>
        </w:tabs>
        <w:adjustRightInd w:val="0"/>
        <w:snapToGrid w:val="0"/>
        <w:spacing w:line="500" w:lineRule="exact"/>
        <w:rPr>
          <w:rFonts w:ascii="宋体" w:hAnsi="宋体" w:cs="宋体"/>
          <w:color w:val="auto"/>
          <w:sz w:val="24"/>
          <w:highlight w:val="none"/>
        </w:rPr>
      </w:pPr>
    </w:p>
    <w:p w14:paraId="51CAE13B">
      <w:pPr>
        <w:tabs>
          <w:tab w:val="left" w:pos="630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被授权人：                                 供应商法定代表人：</w:t>
      </w:r>
    </w:p>
    <w:p w14:paraId="1C0BC664">
      <w:pPr>
        <w:tabs>
          <w:tab w:val="left" w:pos="6300"/>
        </w:tabs>
        <w:adjustRightInd w:val="0"/>
        <w:snapToGrid w:val="0"/>
        <w:spacing w:line="500" w:lineRule="exact"/>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（签字或盖章）                                （签字或盖章）</w:t>
      </w:r>
    </w:p>
    <w:p w14:paraId="58FA5998">
      <w:pPr>
        <w:tabs>
          <w:tab w:val="left" w:pos="6300"/>
        </w:tabs>
        <w:adjustRightInd w:val="0"/>
        <w:snapToGrid w:val="0"/>
        <w:spacing w:line="500" w:lineRule="exact"/>
        <w:rPr>
          <w:rFonts w:ascii="宋体" w:hAnsi="宋体" w:cs="宋体"/>
          <w:color w:val="auto"/>
          <w:sz w:val="24"/>
          <w:szCs w:val="28"/>
          <w:highlight w:val="none"/>
        </w:rPr>
      </w:pPr>
    </w:p>
    <w:p w14:paraId="1430FE4E">
      <w:pPr>
        <w:tabs>
          <w:tab w:val="left" w:pos="6300"/>
        </w:tabs>
        <w:adjustRightInd w:val="0"/>
        <w:snapToGrid w:val="0"/>
        <w:spacing w:line="500" w:lineRule="exact"/>
        <w:rPr>
          <w:rFonts w:ascii="宋体" w:hAnsi="宋体" w:cs="宋体"/>
          <w:color w:val="auto"/>
          <w:sz w:val="24"/>
          <w:highlight w:val="none"/>
        </w:rPr>
      </w:pPr>
    </w:p>
    <w:p w14:paraId="060C5076">
      <w:pPr>
        <w:tabs>
          <w:tab w:val="left" w:pos="630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（附：被授权人身份证正反面复印件）</w:t>
      </w:r>
    </w:p>
    <w:p w14:paraId="1F69CF32">
      <w:pPr>
        <w:tabs>
          <w:tab w:val="left" w:pos="630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                                          </w:t>
      </w:r>
    </w:p>
    <w:p w14:paraId="5390A2A0">
      <w:pPr>
        <w:tabs>
          <w:tab w:val="left" w:pos="6300"/>
        </w:tabs>
        <w:adjustRightInd w:val="0"/>
        <w:snapToGrid w:val="0"/>
        <w:spacing w:line="500" w:lineRule="exact"/>
        <w:rPr>
          <w:rFonts w:ascii="宋体" w:hAnsi="宋体" w:cs="宋体"/>
          <w:color w:val="auto"/>
          <w:sz w:val="24"/>
          <w:highlight w:val="none"/>
        </w:rPr>
      </w:pPr>
    </w:p>
    <w:p w14:paraId="7D2F30FA">
      <w:pPr>
        <w:tabs>
          <w:tab w:val="left" w:pos="6300"/>
        </w:tabs>
        <w:adjustRightInd w:val="0"/>
        <w:snapToGrid w:val="0"/>
        <w:spacing w:line="500" w:lineRule="exact"/>
        <w:ind w:right="480" w:firstLine="480" w:firstLineChars="200"/>
        <w:jc w:val="right"/>
        <w:rPr>
          <w:rFonts w:ascii="宋体" w:hAnsi="宋体" w:cs="宋体"/>
          <w:color w:val="auto"/>
          <w:sz w:val="24"/>
          <w:highlight w:val="none"/>
        </w:rPr>
      </w:pPr>
      <w:r>
        <w:rPr>
          <w:rFonts w:hint="eastAsia" w:ascii="宋体" w:hAnsi="宋体" w:cs="宋体"/>
          <w:color w:val="auto"/>
          <w:sz w:val="24"/>
          <w:highlight w:val="none"/>
        </w:rPr>
        <w:t>（供应商公章）</w:t>
      </w:r>
    </w:p>
    <w:p w14:paraId="4B067BC9">
      <w:pPr>
        <w:tabs>
          <w:tab w:val="left" w:pos="6300"/>
        </w:tabs>
        <w:adjustRightInd w:val="0"/>
        <w:snapToGrid w:val="0"/>
        <w:spacing w:line="500" w:lineRule="exact"/>
        <w:ind w:right="480" w:firstLine="480" w:firstLineChars="200"/>
        <w:jc w:val="right"/>
        <w:rPr>
          <w:rFonts w:ascii="宋体" w:hAnsi="宋体" w:cs="宋体"/>
          <w:color w:val="auto"/>
          <w:sz w:val="24"/>
          <w:highlight w:val="none"/>
        </w:rPr>
      </w:pPr>
      <w:r>
        <w:rPr>
          <w:rFonts w:hint="eastAsia" w:ascii="宋体" w:hAnsi="宋体" w:cs="宋体"/>
          <w:color w:val="auto"/>
          <w:sz w:val="24"/>
          <w:highlight w:val="none"/>
        </w:rPr>
        <w:t>年   月   日</w:t>
      </w:r>
    </w:p>
    <w:p w14:paraId="77E9D825">
      <w:pPr>
        <w:tabs>
          <w:tab w:val="left" w:pos="6300"/>
        </w:tabs>
        <w:adjustRightInd w:val="0"/>
        <w:snapToGrid w:val="0"/>
        <w:spacing w:line="500" w:lineRule="exact"/>
        <w:ind w:right="480" w:firstLine="480" w:firstLineChars="200"/>
        <w:jc w:val="left"/>
        <w:rPr>
          <w:rFonts w:ascii="宋体" w:hAnsi="宋体" w:cs="宋体"/>
          <w:color w:val="auto"/>
          <w:sz w:val="24"/>
          <w:highlight w:val="none"/>
        </w:rPr>
      </w:pPr>
      <w:r>
        <w:rPr>
          <w:rFonts w:hint="eastAsia" w:ascii="宋体" w:hAnsi="宋体" w:cs="宋体"/>
          <w:color w:val="auto"/>
          <w:sz w:val="24"/>
          <w:highlight w:val="none"/>
        </w:rPr>
        <w:t>被授权人电话：XXXXXXX     电子邮箱：XXXXXX@XXXXX（若法定代表人办理并签署响应文件的可不填写）</w:t>
      </w:r>
    </w:p>
    <w:p w14:paraId="06DA84B3">
      <w:pPr>
        <w:tabs>
          <w:tab w:val="left" w:pos="6300"/>
        </w:tabs>
        <w:adjustRightInd w:val="0"/>
        <w:snapToGrid w:val="0"/>
        <w:spacing w:line="500" w:lineRule="exact"/>
        <w:ind w:right="480" w:firstLine="480" w:firstLineChars="200"/>
        <w:jc w:val="left"/>
        <w:rPr>
          <w:rFonts w:ascii="宋体" w:hAnsi="宋体" w:cs="宋体"/>
          <w:color w:val="auto"/>
          <w:sz w:val="24"/>
          <w:highlight w:val="none"/>
        </w:rPr>
      </w:pPr>
      <w:r>
        <w:rPr>
          <w:rFonts w:hint="eastAsia" w:ascii="宋体" w:hAnsi="宋体" w:cs="宋体"/>
          <w:color w:val="auto"/>
          <w:sz w:val="24"/>
          <w:highlight w:val="none"/>
        </w:rPr>
        <w:t>注：</w:t>
      </w:r>
    </w:p>
    <w:p w14:paraId="736F0611">
      <w:pPr>
        <w:pStyle w:val="7"/>
        <w:adjustRightInd w:val="0"/>
        <w:snapToGrid w:val="0"/>
        <w:spacing w:line="500" w:lineRule="exact"/>
        <w:ind w:left="570"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1.若为法定代表人办理并签署响应文件的，不提供此文件。</w:t>
      </w:r>
    </w:p>
    <w:p w14:paraId="13C2A1E6">
      <w:pPr>
        <w:tabs>
          <w:tab w:val="left" w:pos="6300"/>
        </w:tabs>
        <w:adjustRightInd w:val="0"/>
        <w:snapToGrid w:val="0"/>
        <w:spacing w:line="5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（四）基本资格条件承诺函（格式）</w:t>
      </w:r>
    </w:p>
    <w:p w14:paraId="5FBF4A96">
      <w:pPr>
        <w:tabs>
          <w:tab w:val="left" w:pos="6300"/>
        </w:tabs>
        <w:adjustRightInd w:val="0"/>
        <w:snapToGrid w:val="0"/>
        <w:spacing w:line="500" w:lineRule="exact"/>
        <w:ind w:firstLine="480" w:firstLineChars="200"/>
        <w:jc w:val="center"/>
        <w:rPr>
          <w:rFonts w:ascii="宋体" w:hAnsi="宋体" w:cs="宋体"/>
          <w:color w:val="auto"/>
          <w:sz w:val="24"/>
          <w:szCs w:val="24"/>
          <w:highlight w:val="none"/>
        </w:rPr>
      </w:pPr>
      <w:r>
        <w:rPr>
          <w:rFonts w:hint="eastAsia" w:ascii="宋体" w:hAnsi="宋体" w:cs="宋体"/>
          <w:color w:val="auto"/>
          <w:sz w:val="24"/>
          <w:szCs w:val="24"/>
          <w:highlight w:val="none"/>
        </w:rPr>
        <w:t>基本资格条件承诺函</w:t>
      </w:r>
    </w:p>
    <w:p w14:paraId="76921865">
      <w:pPr>
        <w:tabs>
          <w:tab w:val="left" w:pos="6300"/>
        </w:tabs>
        <w:adjustRightInd w:val="0"/>
        <w:snapToGrid w:val="0"/>
        <w:spacing w:line="500" w:lineRule="exact"/>
        <w:rPr>
          <w:rFonts w:ascii="宋体" w:hAnsi="宋体" w:cs="宋体"/>
          <w:color w:val="auto"/>
          <w:sz w:val="24"/>
          <w:szCs w:val="24"/>
          <w:highlight w:val="none"/>
        </w:rPr>
      </w:pPr>
    </w:p>
    <w:p w14:paraId="166C995E">
      <w:pPr>
        <w:tabs>
          <w:tab w:val="left" w:pos="6300"/>
        </w:tabs>
        <w:adjustRightInd w:val="0"/>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u w:val="single"/>
        </w:rPr>
        <w:t xml:space="preserve"> </w:t>
      </w:r>
      <w:r>
        <w:rPr>
          <w:rFonts w:hint="eastAsia" w:ascii="宋体" w:hAnsi="宋体" w:cs="宋体"/>
          <w:color w:val="auto"/>
          <w:sz w:val="24"/>
          <w:highlight w:val="none"/>
          <w:u w:val="single"/>
        </w:rPr>
        <w:t>重庆市文物考古研究院（重庆文化遗产保护中心）</w:t>
      </w:r>
      <w:r>
        <w:rPr>
          <w:rFonts w:hint="eastAsia" w:ascii="宋体" w:hAnsi="宋体" w:cs="宋体"/>
          <w:color w:val="auto"/>
          <w:sz w:val="24"/>
          <w:szCs w:val="24"/>
          <w:highlight w:val="none"/>
        </w:rPr>
        <w:t>：</w:t>
      </w:r>
    </w:p>
    <w:p w14:paraId="562FA36D">
      <w:pPr>
        <w:tabs>
          <w:tab w:val="left" w:pos="6300"/>
        </w:tabs>
        <w:adjustRightInd w:val="0"/>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（供应商名称）郑重承诺：</w:t>
      </w:r>
    </w:p>
    <w:p w14:paraId="51001F38">
      <w:pPr>
        <w:adjustRightInd w:val="0"/>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1.我方具有良好的商业信誉和健全的财务会计制度，具有履行合同所必需的设备和专业技术能力，具</w:t>
      </w:r>
      <w:r>
        <w:rPr>
          <w:rFonts w:hint="eastAsia" w:ascii="宋体" w:hAnsi="宋体" w:cs="宋体"/>
          <w:color w:val="auto"/>
          <w:sz w:val="24"/>
          <w:szCs w:val="24"/>
          <w:highlight w:val="none"/>
          <w:lang w:val="zh-CN"/>
        </w:rPr>
        <w:t>有依法缴纳税收和社会保障金的良好记录</w:t>
      </w:r>
      <w:r>
        <w:rPr>
          <w:rFonts w:hint="eastAsia" w:ascii="宋体" w:hAnsi="宋体" w:cs="宋体"/>
          <w:color w:val="auto"/>
          <w:sz w:val="24"/>
          <w:szCs w:val="24"/>
          <w:highlight w:val="none"/>
        </w:rPr>
        <w:t>，满足法律、行政法规规定的其他条件，参加本项目采购活动前三年内无重大违法活动记录。</w:t>
      </w:r>
    </w:p>
    <w:p w14:paraId="2DD99878">
      <w:pPr>
        <w:adjustRightInd w:val="0"/>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2.我方未列入在信用中国网站（www.creditchina.gov.cn）“失信被执行人”、“重大税收违法案件当事人名单”中，也未列入中国政府采购网（www.ccgp.gov.cn）“政府采购严重违法失信行为记录名单”中。</w:t>
      </w:r>
    </w:p>
    <w:p w14:paraId="7F27F571">
      <w:pPr>
        <w:adjustRightInd w:val="0"/>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3.我方在采购项目评审（评标）环节结束后，随时接受采购人的检查验证，配合提供相关证明材料，证明符合《中华人民共和国政府采购法》规定的投标人基本资格条件。</w:t>
      </w:r>
    </w:p>
    <w:p w14:paraId="180E980A">
      <w:pPr>
        <w:tabs>
          <w:tab w:val="left" w:pos="6300"/>
        </w:tabs>
        <w:adjustRightInd w:val="0"/>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我方对以上承诺负全部法律责任。</w:t>
      </w:r>
    </w:p>
    <w:p w14:paraId="727D4863">
      <w:pPr>
        <w:tabs>
          <w:tab w:val="left" w:pos="6300"/>
        </w:tabs>
        <w:adjustRightInd w:val="0"/>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特此承诺。</w:t>
      </w:r>
    </w:p>
    <w:p w14:paraId="677492A6">
      <w:pPr>
        <w:tabs>
          <w:tab w:val="left" w:pos="6300"/>
        </w:tabs>
        <w:adjustRightInd w:val="0"/>
        <w:snapToGrid w:val="0"/>
        <w:spacing w:line="500" w:lineRule="exact"/>
        <w:rPr>
          <w:rFonts w:ascii="宋体" w:hAnsi="宋体" w:cs="宋体"/>
          <w:color w:val="auto"/>
          <w:sz w:val="24"/>
          <w:szCs w:val="24"/>
          <w:highlight w:val="none"/>
        </w:rPr>
      </w:pPr>
    </w:p>
    <w:p w14:paraId="2D97CD8B">
      <w:pPr>
        <w:tabs>
          <w:tab w:val="left" w:pos="6300"/>
        </w:tabs>
        <w:adjustRightInd w:val="0"/>
        <w:snapToGrid w:val="0"/>
        <w:spacing w:line="500" w:lineRule="exact"/>
        <w:ind w:right="424" w:firstLine="480" w:firstLineChars="200"/>
        <w:jc w:val="right"/>
        <w:rPr>
          <w:rFonts w:ascii="宋体" w:hAnsi="宋体" w:cs="宋体"/>
          <w:color w:val="auto"/>
          <w:sz w:val="24"/>
          <w:szCs w:val="24"/>
          <w:highlight w:val="none"/>
        </w:rPr>
      </w:pPr>
      <w:r>
        <w:rPr>
          <w:rFonts w:hint="eastAsia" w:ascii="宋体" w:hAnsi="宋体" w:cs="宋体"/>
          <w:color w:val="auto"/>
          <w:sz w:val="24"/>
          <w:szCs w:val="24"/>
          <w:highlight w:val="none"/>
        </w:rPr>
        <w:t>（供应商公章）</w:t>
      </w:r>
    </w:p>
    <w:p w14:paraId="39FCFEEC">
      <w:pPr>
        <w:adjustRightInd w:val="0"/>
        <w:snapToGrid w:val="0"/>
        <w:spacing w:line="500" w:lineRule="exact"/>
        <w:ind w:firstLine="480" w:firstLineChars="200"/>
        <w:jc w:val="right"/>
        <w:rPr>
          <w:rFonts w:ascii="宋体" w:hAnsi="宋体" w:cs="宋体"/>
          <w:color w:val="auto"/>
          <w:sz w:val="24"/>
          <w:szCs w:val="24"/>
          <w:highlight w:val="none"/>
        </w:rPr>
      </w:pPr>
      <w:r>
        <w:rPr>
          <w:rFonts w:hint="eastAsia" w:ascii="宋体" w:hAnsi="宋体" w:cs="宋体"/>
          <w:color w:val="auto"/>
          <w:sz w:val="24"/>
          <w:szCs w:val="24"/>
          <w:highlight w:val="none"/>
        </w:rPr>
        <w:t>年   月   日</w:t>
      </w:r>
    </w:p>
    <w:p w14:paraId="37A63505">
      <w:pPr>
        <w:rPr>
          <w:rFonts w:ascii="宋体" w:hAnsi="宋体" w:cs="宋体"/>
          <w:color w:val="auto"/>
          <w:highlight w:val="none"/>
        </w:rPr>
      </w:pPr>
      <w:r>
        <w:rPr>
          <w:rFonts w:ascii="宋体" w:hAnsi="宋体" w:cs="宋体"/>
          <w:color w:val="auto"/>
          <w:highlight w:val="none"/>
        </w:rPr>
        <w:br w:type="page"/>
      </w:r>
    </w:p>
    <w:p w14:paraId="485B9FA6">
      <w:pPr>
        <w:rPr>
          <w:rFonts w:ascii="宋体" w:hAnsi="宋体" w:cs="宋体"/>
          <w:color w:val="auto"/>
          <w:highlight w:val="none"/>
        </w:rPr>
      </w:pPr>
      <w:bookmarkStart w:id="17" w:name="_Toc76462354"/>
      <w:bookmarkStart w:id="18" w:name="_Toc106030910"/>
      <w:r>
        <w:rPr>
          <w:rFonts w:hint="eastAsia" w:ascii="宋体" w:hAnsi="宋体" w:cs="宋体"/>
          <w:color w:val="auto"/>
          <w:highlight w:val="none"/>
        </w:rPr>
        <w:t>五、其他资料</w:t>
      </w:r>
      <w:bookmarkEnd w:id="17"/>
      <w:bookmarkEnd w:id="18"/>
    </w:p>
    <w:p w14:paraId="06A7C594">
      <w:pPr>
        <w:rPr>
          <w:rFonts w:ascii="宋体" w:hAnsi="宋体" w:cs="宋体"/>
          <w:color w:val="auto"/>
          <w:highlight w:val="none"/>
        </w:rPr>
      </w:pPr>
      <w:r>
        <w:rPr>
          <w:rFonts w:ascii="宋体" w:hAnsi="宋体" w:cs="宋体"/>
          <w:color w:val="auto"/>
          <w:highlight w:val="none"/>
        </w:rPr>
        <w:t>（</w:t>
      </w:r>
      <w:r>
        <w:rPr>
          <w:rFonts w:hint="eastAsia" w:ascii="宋体" w:hAnsi="宋体" w:cs="宋体"/>
          <w:color w:val="auto"/>
          <w:highlight w:val="none"/>
        </w:rPr>
        <w:t>一</w:t>
      </w:r>
      <w:r>
        <w:rPr>
          <w:rFonts w:ascii="宋体" w:hAnsi="宋体" w:cs="宋体"/>
          <w:color w:val="auto"/>
          <w:highlight w:val="none"/>
        </w:rPr>
        <w:t>）其他与项目有关的资料</w:t>
      </w:r>
    </w:p>
    <w:p w14:paraId="2EEAA598">
      <w:pPr>
        <w:rPr>
          <w:color w:val="auto"/>
          <w:highlight w:val="none"/>
        </w:rPr>
      </w:pPr>
      <w:bookmarkStart w:id="19" w:name="_GoBack"/>
      <w:bookmarkEnd w:id="19"/>
    </w:p>
    <w:sectPr>
      <w:footerReference r:id="rId5" w:type="default"/>
      <w:pgSz w:w="11906" w:h="16838"/>
      <w:pgMar w:top="1984" w:right="1446" w:bottom="1644" w:left="1446"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07E0179D-6968-42DE-9524-BE922E755E4E}"/>
  </w:font>
  <w:font w:name="方正书宋_GBK">
    <w:panose1 w:val="03000509000000000000"/>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E0000" w:usb2="00000000" w:usb3="00000000" w:csb0="00040000" w:csb1="00000000"/>
    <w:embedRegular r:id="rId2" w:fontKey="{742431DE-0949-4DE4-B1B8-77AF4818D9B1}"/>
  </w:font>
  <w:font w:name="Calibri Light">
    <w:panose1 w:val="020F0302020204030204"/>
    <w:charset w:val="00"/>
    <w:family w:val="auto"/>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3" w:fontKey="{7A9FDB33-0563-4B79-AFDA-5D25F214DBF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BDBE1">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A47813">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EA47813">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72BAEC"/>
    <w:multiLevelType w:val="singleLevel"/>
    <w:tmpl w:val="BF72BAEC"/>
    <w:lvl w:ilvl="0" w:tentative="0">
      <w:start w:val="1"/>
      <w:numFmt w:val="decimal"/>
      <w:lvlText w:val="%1."/>
      <w:lvlJc w:val="left"/>
      <w:pPr>
        <w:tabs>
          <w:tab w:val="left" w:pos="312"/>
        </w:tabs>
      </w:pPr>
    </w:lvl>
  </w:abstractNum>
  <w:abstractNum w:abstractNumId="1">
    <w:nsid w:val="DBFC8763"/>
    <w:multiLevelType w:val="singleLevel"/>
    <w:tmpl w:val="DBFC8763"/>
    <w:lvl w:ilvl="0" w:tentative="0">
      <w:start w:val="3"/>
      <w:numFmt w:val="decimal"/>
      <w:suff w:val="nothing"/>
      <w:lvlText w:val="（%1）"/>
      <w:lvlJc w:val="left"/>
    </w:lvl>
  </w:abstractNum>
  <w:abstractNum w:abstractNumId="2">
    <w:nsid w:val="1CEACBD7"/>
    <w:multiLevelType w:val="singleLevel"/>
    <w:tmpl w:val="1CEACBD7"/>
    <w:lvl w:ilvl="0" w:tentative="0">
      <w:start w:val="2"/>
      <w:numFmt w:val="chineseCounting"/>
      <w:suff w:val="nothing"/>
      <w:lvlText w:val="%1、"/>
      <w:lvlJc w:val="left"/>
      <w:rPr>
        <w:rFonts w:hint="eastAsia"/>
      </w:rPr>
    </w:lvl>
  </w:abstractNum>
  <w:abstractNum w:abstractNumId="3">
    <w:nsid w:val="2C7BAC3A"/>
    <w:multiLevelType w:val="singleLevel"/>
    <w:tmpl w:val="2C7BAC3A"/>
    <w:lvl w:ilvl="0" w:tentative="0">
      <w:start w:val="2"/>
      <w:numFmt w:val="chineseCounting"/>
      <w:suff w:val="nothing"/>
      <w:lvlText w:val="（%1）"/>
      <w:lvlJc w:val="left"/>
      <w:rPr>
        <w:rFonts w:hint="eastAsia"/>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VjNWI3NDVkMWFmZDEwZDc1ZmM4MzZlZTgwMTQ0NTkifQ=="/>
  </w:docVars>
  <w:rsids>
    <w:rsidRoot w:val="59E049F9"/>
    <w:rsid w:val="00064C13"/>
    <w:rsid w:val="00086F93"/>
    <w:rsid w:val="000D0663"/>
    <w:rsid w:val="0017384A"/>
    <w:rsid w:val="001B364E"/>
    <w:rsid w:val="001D10D5"/>
    <w:rsid w:val="00246061"/>
    <w:rsid w:val="00304D8F"/>
    <w:rsid w:val="0030640D"/>
    <w:rsid w:val="00342047"/>
    <w:rsid w:val="003548C5"/>
    <w:rsid w:val="0036487C"/>
    <w:rsid w:val="00367CE0"/>
    <w:rsid w:val="00383D91"/>
    <w:rsid w:val="003E7BD8"/>
    <w:rsid w:val="00404D54"/>
    <w:rsid w:val="00421585"/>
    <w:rsid w:val="004A3312"/>
    <w:rsid w:val="004E3546"/>
    <w:rsid w:val="00581752"/>
    <w:rsid w:val="005F4816"/>
    <w:rsid w:val="00614881"/>
    <w:rsid w:val="006861B0"/>
    <w:rsid w:val="0073688F"/>
    <w:rsid w:val="007369A0"/>
    <w:rsid w:val="00786BF5"/>
    <w:rsid w:val="007C7BC8"/>
    <w:rsid w:val="00862FDA"/>
    <w:rsid w:val="008901C5"/>
    <w:rsid w:val="008C4FCD"/>
    <w:rsid w:val="0098392B"/>
    <w:rsid w:val="009923D2"/>
    <w:rsid w:val="00993073"/>
    <w:rsid w:val="00A46F64"/>
    <w:rsid w:val="00A87144"/>
    <w:rsid w:val="00AC6992"/>
    <w:rsid w:val="00AE3302"/>
    <w:rsid w:val="00C11603"/>
    <w:rsid w:val="00C313FB"/>
    <w:rsid w:val="00C646FA"/>
    <w:rsid w:val="00CC5AC0"/>
    <w:rsid w:val="00D115E7"/>
    <w:rsid w:val="00D119D7"/>
    <w:rsid w:val="00D13CB1"/>
    <w:rsid w:val="00D32689"/>
    <w:rsid w:val="00D351A9"/>
    <w:rsid w:val="00D70EC2"/>
    <w:rsid w:val="00DA54CF"/>
    <w:rsid w:val="00DA5DAF"/>
    <w:rsid w:val="00DB4E80"/>
    <w:rsid w:val="00E57DE3"/>
    <w:rsid w:val="00E66548"/>
    <w:rsid w:val="00EA259D"/>
    <w:rsid w:val="00F0487F"/>
    <w:rsid w:val="00F4063A"/>
    <w:rsid w:val="00F46C9A"/>
    <w:rsid w:val="01B0664E"/>
    <w:rsid w:val="022E1402"/>
    <w:rsid w:val="022F436A"/>
    <w:rsid w:val="031464AA"/>
    <w:rsid w:val="033C49A3"/>
    <w:rsid w:val="03812F6D"/>
    <w:rsid w:val="038327FA"/>
    <w:rsid w:val="041476CE"/>
    <w:rsid w:val="04182746"/>
    <w:rsid w:val="046B249C"/>
    <w:rsid w:val="04AE776B"/>
    <w:rsid w:val="05177476"/>
    <w:rsid w:val="058B3D03"/>
    <w:rsid w:val="05AB7BBE"/>
    <w:rsid w:val="06AE0611"/>
    <w:rsid w:val="073D32F5"/>
    <w:rsid w:val="080261BB"/>
    <w:rsid w:val="086230FE"/>
    <w:rsid w:val="08923E32"/>
    <w:rsid w:val="089808CE"/>
    <w:rsid w:val="09E518F1"/>
    <w:rsid w:val="0ACD1B3D"/>
    <w:rsid w:val="0ADD3FAE"/>
    <w:rsid w:val="0B122005"/>
    <w:rsid w:val="0B3C19E4"/>
    <w:rsid w:val="0B9454AB"/>
    <w:rsid w:val="0BD41410"/>
    <w:rsid w:val="0C34090D"/>
    <w:rsid w:val="0CDD2D53"/>
    <w:rsid w:val="0CF63E15"/>
    <w:rsid w:val="0D161A88"/>
    <w:rsid w:val="0DC6708C"/>
    <w:rsid w:val="0E3736F1"/>
    <w:rsid w:val="0F4E618A"/>
    <w:rsid w:val="0F8558BB"/>
    <w:rsid w:val="103C1664"/>
    <w:rsid w:val="10E540B1"/>
    <w:rsid w:val="116976BC"/>
    <w:rsid w:val="11BB562D"/>
    <w:rsid w:val="11D72467"/>
    <w:rsid w:val="136E71D2"/>
    <w:rsid w:val="13706BF0"/>
    <w:rsid w:val="140D7D73"/>
    <w:rsid w:val="1421769B"/>
    <w:rsid w:val="14932D03"/>
    <w:rsid w:val="14C8253B"/>
    <w:rsid w:val="15455939"/>
    <w:rsid w:val="16C32FBA"/>
    <w:rsid w:val="181B0BD3"/>
    <w:rsid w:val="19011F57"/>
    <w:rsid w:val="191E1684"/>
    <w:rsid w:val="1972585E"/>
    <w:rsid w:val="19F87477"/>
    <w:rsid w:val="1B541453"/>
    <w:rsid w:val="1BC51582"/>
    <w:rsid w:val="1C1A2D59"/>
    <w:rsid w:val="1C4C57FF"/>
    <w:rsid w:val="1CB239FF"/>
    <w:rsid w:val="1CB659F1"/>
    <w:rsid w:val="1E3E561C"/>
    <w:rsid w:val="200E05B1"/>
    <w:rsid w:val="20917897"/>
    <w:rsid w:val="20B215DB"/>
    <w:rsid w:val="20C544AF"/>
    <w:rsid w:val="20CB6CB7"/>
    <w:rsid w:val="211F1734"/>
    <w:rsid w:val="214C2ADA"/>
    <w:rsid w:val="21E309B4"/>
    <w:rsid w:val="221B2A67"/>
    <w:rsid w:val="22D447A0"/>
    <w:rsid w:val="23C95987"/>
    <w:rsid w:val="24B108F5"/>
    <w:rsid w:val="2593624D"/>
    <w:rsid w:val="25981347"/>
    <w:rsid w:val="270D67FE"/>
    <w:rsid w:val="27133A29"/>
    <w:rsid w:val="27321A96"/>
    <w:rsid w:val="27A74CA5"/>
    <w:rsid w:val="28D11CDD"/>
    <w:rsid w:val="28E53263"/>
    <w:rsid w:val="29010B9E"/>
    <w:rsid w:val="29D00809"/>
    <w:rsid w:val="2AB84257"/>
    <w:rsid w:val="2B5F449B"/>
    <w:rsid w:val="2B9106D3"/>
    <w:rsid w:val="2BBF5B57"/>
    <w:rsid w:val="2BDA4BD6"/>
    <w:rsid w:val="2BF64F9C"/>
    <w:rsid w:val="2C482A44"/>
    <w:rsid w:val="2C964A81"/>
    <w:rsid w:val="2CC31B0E"/>
    <w:rsid w:val="2D6243F5"/>
    <w:rsid w:val="2E5444E9"/>
    <w:rsid w:val="2E84707B"/>
    <w:rsid w:val="2EC211EA"/>
    <w:rsid w:val="304765B2"/>
    <w:rsid w:val="30D23125"/>
    <w:rsid w:val="31061FC9"/>
    <w:rsid w:val="32130337"/>
    <w:rsid w:val="328062C5"/>
    <w:rsid w:val="33907E8C"/>
    <w:rsid w:val="3402116D"/>
    <w:rsid w:val="341474A9"/>
    <w:rsid w:val="347F2794"/>
    <w:rsid w:val="349E3D54"/>
    <w:rsid w:val="34A62CC8"/>
    <w:rsid w:val="36D23C54"/>
    <w:rsid w:val="36FF3F32"/>
    <w:rsid w:val="371E0A02"/>
    <w:rsid w:val="381C797F"/>
    <w:rsid w:val="38E56968"/>
    <w:rsid w:val="39A20CFD"/>
    <w:rsid w:val="3AA06FEA"/>
    <w:rsid w:val="3AE05CBA"/>
    <w:rsid w:val="3AF47336"/>
    <w:rsid w:val="3B924490"/>
    <w:rsid w:val="3B997DD0"/>
    <w:rsid w:val="3C07622C"/>
    <w:rsid w:val="3C157564"/>
    <w:rsid w:val="3C1B5BAC"/>
    <w:rsid w:val="3C3944DC"/>
    <w:rsid w:val="3CA07775"/>
    <w:rsid w:val="3EB92D70"/>
    <w:rsid w:val="3EE37A50"/>
    <w:rsid w:val="3EF74A46"/>
    <w:rsid w:val="3F0A35CC"/>
    <w:rsid w:val="4048174B"/>
    <w:rsid w:val="405614B0"/>
    <w:rsid w:val="40EC2905"/>
    <w:rsid w:val="414D77A0"/>
    <w:rsid w:val="41612E9A"/>
    <w:rsid w:val="41DE4E43"/>
    <w:rsid w:val="41F06C79"/>
    <w:rsid w:val="423609B2"/>
    <w:rsid w:val="424B3172"/>
    <w:rsid w:val="43137E8F"/>
    <w:rsid w:val="43F81467"/>
    <w:rsid w:val="449776B0"/>
    <w:rsid w:val="44A1408B"/>
    <w:rsid w:val="44A742AF"/>
    <w:rsid w:val="44C81693"/>
    <w:rsid w:val="466C691A"/>
    <w:rsid w:val="47024B89"/>
    <w:rsid w:val="4763768D"/>
    <w:rsid w:val="47E51F57"/>
    <w:rsid w:val="48142270"/>
    <w:rsid w:val="489B5295"/>
    <w:rsid w:val="49796A18"/>
    <w:rsid w:val="49D31A10"/>
    <w:rsid w:val="49FE5F07"/>
    <w:rsid w:val="4A8A4377"/>
    <w:rsid w:val="4B2E1B45"/>
    <w:rsid w:val="4C116F1B"/>
    <w:rsid w:val="4D110022"/>
    <w:rsid w:val="4E0B6A19"/>
    <w:rsid w:val="4E451F2B"/>
    <w:rsid w:val="4E7D5950"/>
    <w:rsid w:val="4FA76912"/>
    <w:rsid w:val="50357D7D"/>
    <w:rsid w:val="505418DC"/>
    <w:rsid w:val="516910D1"/>
    <w:rsid w:val="51D5531F"/>
    <w:rsid w:val="52901701"/>
    <w:rsid w:val="530838A3"/>
    <w:rsid w:val="530A3D39"/>
    <w:rsid w:val="53531CE8"/>
    <w:rsid w:val="53536E98"/>
    <w:rsid w:val="540B4436"/>
    <w:rsid w:val="54FC26B7"/>
    <w:rsid w:val="553D1193"/>
    <w:rsid w:val="557032B8"/>
    <w:rsid w:val="56EE00F5"/>
    <w:rsid w:val="57197D25"/>
    <w:rsid w:val="5764628E"/>
    <w:rsid w:val="579441B0"/>
    <w:rsid w:val="57A51342"/>
    <w:rsid w:val="57DB745C"/>
    <w:rsid w:val="588F683A"/>
    <w:rsid w:val="58CD4FF7"/>
    <w:rsid w:val="599022FF"/>
    <w:rsid w:val="59E049F9"/>
    <w:rsid w:val="59ED08EF"/>
    <w:rsid w:val="5A8272CD"/>
    <w:rsid w:val="5B3004B0"/>
    <w:rsid w:val="5B751975"/>
    <w:rsid w:val="5BC97B55"/>
    <w:rsid w:val="5C68491F"/>
    <w:rsid w:val="5CC84710"/>
    <w:rsid w:val="5E623282"/>
    <w:rsid w:val="5EC53368"/>
    <w:rsid w:val="5F8605F5"/>
    <w:rsid w:val="60E734E7"/>
    <w:rsid w:val="61F061FA"/>
    <w:rsid w:val="624774C3"/>
    <w:rsid w:val="62DE1443"/>
    <w:rsid w:val="63853D7F"/>
    <w:rsid w:val="639D2CD2"/>
    <w:rsid w:val="63A07F6E"/>
    <w:rsid w:val="64C073DB"/>
    <w:rsid w:val="657667D3"/>
    <w:rsid w:val="65A45331"/>
    <w:rsid w:val="65D42E42"/>
    <w:rsid w:val="65EA5B1B"/>
    <w:rsid w:val="65FC7315"/>
    <w:rsid w:val="679F4002"/>
    <w:rsid w:val="682269E1"/>
    <w:rsid w:val="68C161FA"/>
    <w:rsid w:val="68C31D67"/>
    <w:rsid w:val="68DE097B"/>
    <w:rsid w:val="69023EE9"/>
    <w:rsid w:val="698D3B69"/>
    <w:rsid w:val="6AB04778"/>
    <w:rsid w:val="6C1578A5"/>
    <w:rsid w:val="6C45090D"/>
    <w:rsid w:val="6EB20ABF"/>
    <w:rsid w:val="6EC1311E"/>
    <w:rsid w:val="6F767D3E"/>
    <w:rsid w:val="71272553"/>
    <w:rsid w:val="71A010A2"/>
    <w:rsid w:val="74335E05"/>
    <w:rsid w:val="748D2A60"/>
    <w:rsid w:val="752D2B8E"/>
    <w:rsid w:val="75774810"/>
    <w:rsid w:val="75975C27"/>
    <w:rsid w:val="75AD26A3"/>
    <w:rsid w:val="75DF64BE"/>
    <w:rsid w:val="76996286"/>
    <w:rsid w:val="76AF44D0"/>
    <w:rsid w:val="76F53C3E"/>
    <w:rsid w:val="77874C68"/>
    <w:rsid w:val="77912E40"/>
    <w:rsid w:val="79147DDA"/>
    <w:rsid w:val="79BB45B4"/>
    <w:rsid w:val="79EC7DDC"/>
    <w:rsid w:val="7B7339E4"/>
    <w:rsid w:val="7BBD0AA3"/>
    <w:rsid w:val="7CC3637C"/>
    <w:rsid w:val="7CED3690"/>
    <w:rsid w:val="7CFF2637"/>
    <w:rsid w:val="7D983576"/>
    <w:rsid w:val="7E3D181E"/>
    <w:rsid w:val="7EAC2B50"/>
    <w:rsid w:val="7EEF5417"/>
    <w:rsid w:val="7EF90044"/>
    <w:rsid w:val="7F364DF4"/>
    <w:rsid w:val="7F3E1EFB"/>
    <w:rsid w:val="7FA2692E"/>
    <w:rsid w:val="7FEE56CF"/>
    <w:rsid w:val="B7DF4300"/>
    <w:rsid w:val="F6FB88A2"/>
    <w:rsid w:val="F7DF18A1"/>
    <w:rsid w:val="FCFFEE6F"/>
    <w:rsid w:val="FF3FB6E6"/>
    <w:rsid w:val="FF53E4B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qFormat/>
    <w:uiPriority w:val="0"/>
    <w:pPr>
      <w:keepNext/>
      <w:keepLines/>
      <w:spacing w:line="413" w:lineRule="auto"/>
      <w:outlineLvl w:val="1"/>
    </w:pPr>
    <w:rPr>
      <w:rFonts w:ascii="Arial" w:hAnsi="Arial" w:eastAsia="黑体"/>
      <w:b/>
      <w:sz w:val="32"/>
    </w:rPr>
  </w:style>
  <w:style w:type="paragraph" w:styleId="5">
    <w:name w:val="heading 3"/>
    <w:basedOn w:val="1"/>
    <w:next w:val="1"/>
    <w:qFormat/>
    <w:uiPriority w:val="0"/>
    <w:pPr>
      <w:keepNext/>
      <w:keepLines/>
      <w:spacing w:line="413" w:lineRule="auto"/>
      <w:jc w:val="center"/>
      <w:outlineLvl w:val="2"/>
    </w:pPr>
    <w:rPr>
      <w:b/>
      <w:sz w:val="44"/>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1"/>
    <w:qFormat/>
    <w:uiPriority w:val="0"/>
    <w:pPr>
      <w:tabs>
        <w:tab w:val="center" w:pos="4153"/>
        <w:tab w:val="right" w:pos="8306"/>
      </w:tabs>
      <w:snapToGrid w:val="0"/>
      <w:jc w:val="left"/>
    </w:pPr>
    <w:rPr>
      <w:sz w:val="18"/>
      <w:szCs w:val="18"/>
    </w:rPr>
  </w:style>
  <w:style w:type="paragraph" w:styleId="7">
    <w:name w:val="Body Text"/>
    <w:basedOn w:val="1"/>
    <w:next w:val="1"/>
    <w:qFormat/>
    <w:uiPriority w:val="0"/>
    <w:rPr>
      <w:rFonts w:ascii="仿宋_GB2312" w:eastAsia="仿宋_GB2312"/>
      <w:sz w:val="32"/>
    </w:rPr>
  </w:style>
  <w:style w:type="paragraph" w:styleId="8">
    <w:name w:val="Plain Text"/>
    <w:basedOn w:val="1"/>
    <w:qFormat/>
    <w:uiPriority w:val="0"/>
    <w:rPr>
      <w:rFonts w:ascii="宋体" w:hAnsi="Courier New"/>
      <w:sz w:val="21"/>
    </w:rPr>
  </w:style>
  <w:style w:type="paragraph" w:styleId="9">
    <w:name w:val="Body Text Indent 2"/>
    <w:basedOn w:val="1"/>
    <w:qFormat/>
    <w:uiPriority w:val="0"/>
    <w:pPr>
      <w:snapToGrid w:val="0"/>
      <w:spacing w:line="560" w:lineRule="atLeast"/>
      <w:ind w:firstLine="540"/>
    </w:pPr>
  </w:style>
  <w:style w:type="paragraph" w:styleId="10">
    <w:name w:val="header"/>
    <w:basedOn w:val="1"/>
    <w:link w:val="20"/>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First Indent"/>
    <w:basedOn w:val="7"/>
    <w:next w:val="12"/>
    <w:qFormat/>
    <w:uiPriority w:val="0"/>
    <w:pPr>
      <w:spacing w:line="360" w:lineRule="auto"/>
      <w:ind w:firstLine="420"/>
    </w:pPr>
    <w:rPr>
      <w:rFonts w:ascii="宋体" w:hAnsi="宋体"/>
      <w:sz w:val="24"/>
    </w:rPr>
  </w:style>
  <w:style w:type="paragraph" w:customStyle="1" w:styleId="12">
    <w:name w:val="样式 正文首行缩进 + 首行缩进:  2 字符1 Char Char"/>
    <w:basedOn w:val="1"/>
    <w:qFormat/>
    <w:uiPriority w:val="0"/>
    <w:pPr>
      <w:adjustRightInd w:val="0"/>
      <w:spacing w:line="400" w:lineRule="exact"/>
      <w:ind w:firstLine="480" w:firstLineChars="200"/>
      <w:textAlignment w:val="baseline"/>
    </w:pPr>
    <w:rPr>
      <w:rFonts w:ascii="宋体" w:hAnsi="宋体" w:eastAsia="仿宋_GB2312" w:cs="宋体"/>
      <w:color w:val="000000"/>
      <w:sz w:val="26"/>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正文格式"/>
    <w:basedOn w:val="17"/>
    <w:qFormat/>
    <w:uiPriority w:val="0"/>
    <w:pPr>
      <w:widowControl/>
      <w:adjustRightInd w:val="0"/>
      <w:snapToGrid w:val="0"/>
      <w:spacing w:line="360" w:lineRule="auto"/>
      <w:ind w:firstLine="480" w:firstLineChars="200"/>
      <w:jc w:val="left"/>
      <w:textAlignment w:val="baseline"/>
    </w:pPr>
    <w:rPr>
      <w:rFonts w:ascii="宋体" w:hAnsi="宋体"/>
      <w:color w:val="000000"/>
      <w:kern w:val="0"/>
      <w:sz w:val="24"/>
    </w:rPr>
  </w:style>
  <w:style w:type="paragraph" w:customStyle="1" w:styleId="17">
    <w:name w:val="正文_2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
    <w:name w:val="Heading3"/>
    <w:basedOn w:val="1"/>
    <w:next w:val="1"/>
    <w:qFormat/>
    <w:uiPriority w:val="0"/>
    <w:pPr>
      <w:keepNext/>
      <w:keepLines/>
      <w:spacing w:before="260" w:after="260" w:line="412" w:lineRule="auto"/>
    </w:pPr>
    <w:rPr>
      <w:b/>
      <w:bCs/>
      <w:sz w:val="32"/>
      <w:szCs w:val="32"/>
    </w:rPr>
  </w:style>
  <w:style w:type="paragraph" w:customStyle="1" w:styleId="19">
    <w:name w:val="信息部正文"/>
    <w:basedOn w:val="1"/>
    <w:qFormat/>
    <w:uiPriority w:val="0"/>
    <w:pPr>
      <w:ind w:firstLine="480" w:firstLineChars="200"/>
    </w:pPr>
    <w:rPr>
      <w:rFonts w:ascii="宋体" w:hAnsi="宋体" w:cs="宋体"/>
    </w:rPr>
  </w:style>
  <w:style w:type="character" w:customStyle="1" w:styleId="20">
    <w:name w:val="页眉 字符"/>
    <w:basedOn w:val="15"/>
    <w:link w:val="10"/>
    <w:qFormat/>
    <w:uiPriority w:val="0"/>
    <w:rPr>
      <w:kern w:val="2"/>
      <w:sz w:val="18"/>
      <w:szCs w:val="18"/>
    </w:rPr>
  </w:style>
  <w:style w:type="character" w:customStyle="1" w:styleId="21">
    <w:name w:val="页脚 字符"/>
    <w:basedOn w:val="15"/>
    <w:link w:val="2"/>
    <w:qFormat/>
    <w:uiPriority w:val="0"/>
    <w:rPr>
      <w:kern w:val="2"/>
      <w:sz w:val="18"/>
      <w:szCs w:val="18"/>
    </w:rPr>
  </w:style>
  <w:style w:type="paragraph" w:styleId="22">
    <w:name w:val="List Paragraph"/>
    <w:basedOn w:val="1"/>
    <w:qFormat/>
    <w:uiPriority w:val="99"/>
    <w:pPr>
      <w:ind w:firstLine="420" w:firstLineChars="200"/>
    </w:pPr>
  </w:style>
  <w:style w:type="paragraph" w:customStyle="1" w:styleId="23">
    <w:name w:val="Default"/>
    <w:next w:val="1"/>
    <w:qFormat/>
    <w:uiPriority w:val="0"/>
    <w:pPr>
      <w:widowControl w:val="0"/>
      <w:autoSpaceDE w:val="0"/>
      <w:autoSpaceDN w:val="0"/>
      <w:adjustRightInd w:val="0"/>
    </w:pPr>
    <w:rPr>
      <w:rFonts w:ascii="宋体" w:hAnsi="Calibri" w:eastAsia="宋体" w:cs="Times New Roman"/>
      <w:color w:val="000000"/>
      <w:sz w:val="24"/>
      <w:lang w:val="en-US" w:eastAsia="zh-CN" w:bidi="ar-SA"/>
    </w:rPr>
  </w:style>
  <w:style w:type="paragraph" w:customStyle="1" w:styleId="24">
    <w:name w:val="图例"/>
    <w:basedOn w:val="1"/>
    <w:qFormat/>
    <w:uiPriority w:val="0"/>
    <w:pPr>
      <w:spacing w:before="120" w:after="120" w:line="360" w:lineRule="auto"/>
      <w:jc w:val="center"/>
    </w:pPr>
    <w:rPr>
      <w:rFonts w:eastAsia="仿宋_GB2312"/>
      <w:b/>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18</Pages>
  <Words>1726</Words>
  <Characters>1777</Characters>
  <Lines>37</Lines>
  <Paragraphs>10</Paragraphs>
  <TotalTime>57</TotalTime>
  <ScaleCrop>false</ScaleCrop>
  <LinksUpToDate>false</LinksUpToDate>
  <CharactersWithSpaces>1863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2025-10-12T14:44:00Z</dcterms:created>
  <dc:creator>丹姐</dc:creator>
  <cp:lastModifiedBy>航</cp:lastModifiedBy>
  <cp:lastPrinted>2025-10-15T11:33:00Z</cp:lastPrinted>
  <dcterms:modified xsi:type="dcterms:W3CDTF">2025-11-18T03:20:20Z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363C04111892D7DA49CE1B69A6CD75A2_43</vt:lpwstr>
  </property>
  <property fmtid="{D5CDD505-2E9C-101B-9397-08002B2CF9AE}" pid="4" name="KSOTemplateDocerSaveRecord">
    <vt:lpwstr>eyJoZGlkIjoiY2Y4Njg0NGFmMzgwOWY1MjIxY2RhNmQ5MDY0NGQxMDUiLCJ1c2VySWQiOiI0MzM3MDk0NTkifQ==</vt:lpwstr>
  </property>
</Properties>
</file>