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2D224">
      <w:pPr>
        <w:widowControl/>
        <w:spacing w:line="500" w:lineRule="exact"/>
        <w:jc w:val="center"/>
        <w:rPr>
          <w:rFonts w:hint="eastAsia" w:ascii="方正仿宋_GBK" w:hAnsi="宋体" w:eastAsia="方正仿宋_GBK" w:cs="宋体"/>
          <w:b/>
          <w:bCs/>
          <w:color w:val="auto"/>
          <w:kern w:val="0"/>
          <w:sz w:val="32"/>
          <w:szCs w:val="32"/>
          <w:highlight w:val="none"/>
        </w:rPr>
      </w:pPr>
      <w:r>
        <w:rPr>
          <w:rFonts w:hint="eastAsia" w:eastAsia="方正仿宋_GBK" w:cs="宋体" w:asciiTheme="minorHAnsi" w:hAnsiTheme="minorHAnsi"/>
          <w:b/>
          <w:bCs/>
          <w:color w:val="auto"/>
          <w:kern w:val="0"/>
          <w:sz w:val="32"/>
          <w:szCs w:val="32"/>
          <w:highlight w:val="none"/>
        </w:rPr>
        <w:tab/>
      </w:r>
    </w:p>
    <w:p w14:paraId="049E544A">
      <w:pPr>
        <w:widowControl/>
        <w:spacing w:line="500" w:lineRule="exact"/>
        <w:jc w:val="center"/>
        <w:rPr>
          <w:rFonts w:hint="eastAsia" w:ascii="方正仿宋_GBK" w:hAnsi="宋体" w:eastAsia="方正仿宋_GBK" w:cs="宋体"/>
          <w:b/>
          <w:bCs/>
          <w:color w:val="auto"/>
          <w:kern w:val="0"/>
          <w:sz w:val="32"/>
          <w:szCs w:val="32"/>
          <w:highlight w:val="none"/>
        </w:rPr>
      </w:pPr>
      <w:r>
        <w:rPr>
          <w:rFonts w:hint="eastAsia" w:ascii="方正仿宋_GBK" w:hAnsi="宋体" w:eastAsia="方正仿宋_GBK" w:cs="宋体"/>
          <w:b/>
          <w:bCs/>
          <w:color w:val="auto"/>
          <w:kern w:val="0"/>
          <w:sz w:val="32"/>
          <w:szCs w:val="32"/>
          <w:highlight w:val="none"/>
        </w:rPr>
        <w:tab/>
      </w:r>
    </w:p>
    <w:p w14:paraId="791C6AD5">
      <w:pPr>
        <w:widowControl/>
        <w:spacing w:line="500" w:lineRule="exact"/>
        <w:jc w:val="center"/>
        <w:rPr>
          <w:rFonts w:hint="eastAsia" w:ascii="方正仿宋_GBK" w:hAnsi="宋体" w:eastAsia="方正仿宋_GBK" w:cs="宋体"/>
          <w:b/>
          <w:bCs/>
          <w:color w:val="auto"/>
          <w:kern w:val="0"/>
          <w:sz w:val="32"/>
          <w:szCs w:val="32"/>
          <w:highlight w:val="none"/>
        </w:rPr>
      </w:pPr>
    </w:p>
    <w:p w14:paraId="39D998C7">
      <w:pPr>
        <w:jc w:val="center"/>
        <w:rPr>
          <w:rFonts w:hint="eastAsia" w:ascii="宋体" w:hAnsi="宋体" w:cs="宋体"/>
          <w:b/>
          <w:bCs/>
          <w:color w:val="auto"/>
          <w:spacing w:val="80"/>
          <w:sz w:val="260"/>
          <w:szCs w:val="260"/>
          <w:highlight w:val="none"/>
        </w:rPr>
      </w:pPr>
      <w:r>
        <w:rPr>
          <w:rFonts w:hint="eastAsia" w:ascii="宋体" w:hAnsi="宋体" w:cs="宋体"/>
          <w:b/>
          <w:bCs/>
          <w:color w:val="auto"/>
          <w:sz w:val="96"/>
          <w:szCs w:val="56"/>
          <w:highlight w:val="none"/>
        </w:rPr>
        <w:t>询价文件</w:t>
      </w:r>
    </w:p>
    <w:p w14:paraId="071824D8">
      <w:pPr>
        <w:spacing w:line="700" w:lineRule="exact"/>
        <w:ind w:left="3196" w:leftChars="570" w:hanging="1600" w:hangingChars="500"/>
        <w:rPr>
          <w:rFonts w:hint="eastAsia" w:ascii="宋体" w:hAnsi="宋体" w:cs="宋体"/>
          <w:color w:val="auto"/>
          <w:sz w:val="32"/>
          <w:szCs w:val="32"/>
          <w:highlight w:val="none"/>
        </w:rPr>
      </w:pPr>
    </w:p>
    <w:p w14:paraId="50952333">
      <w:pPr>
        <w:spacing w:line="700" w:lineRule="exact"/>
        <w:ind w:left="3196" w:leftChars="570" w:hanging="1600" w:hangingChars="500"/>
        <w:rPr>
          <w:rFonts w:hint="eastAsia" w:ascii="宋体" w:hAnsi="宋体" w:cs="宋体"/>
          <w:color w:val="auto"/>
          <w:sz w:val="32"/>
          <w:szCs w:val="32"/>
          <w:highlight w:val="none"/>
        </w:rPr>
      </w:pPr>
    </w:p>
    <w:p w14:paraId="73EE1A7D">
      <w:pPr>
        <w:spacing w:line="700" w:lineRule="exact"/>
        <w:ind w:left="3196" w:leftChars="570" w:hanging="1600" w:hangingChars="500"/>
        <w:rPr>
          <w:rFonts w:hint="eastAsia" w:ascii="宋体" w:hAnsi="宋体" w:cs="宋体"/>
          <w:color w:val="auto"/>
          <w:sz w:val="32"/>
          <w:szCs w:val="32"/>
          <w:highlight w:val="none"/>
        </w:rPr>
      </w:pPr>
    </w:p>
    <w:p w14:paraId="74F48F9F">
      <w:pPr>
        <w:spacing w:line="700" w:lineRule="exact"/>
        <w:ind w:left="3196" w:leftChars="570" w:hanging="1600" w:hangingChars="500"/>
        <w:rPr>
          <w:rFonts w:hint="eastAsia" w:ascii="宋体" w:hAnsi="宋体" w:cs="宋体"/>
          <w:color w:val="auto"/>
          <w:sz w:val="32"/>
          <w:szCs w:val="32"/>
          <w:highlight w:val="none"/>
        </w:rPr>
      </w:pPr>
    </w:p>
    <w:p w14:paraId="6EE65E88">
      <w:pPr>
        <w:widowControl/>
        <w:shd w:val="clear" w:color="auto"/>
        <w:spacing w:line="500" w:lineRule="exact"/>
        <w:jc w:val="center"/>
        <w:rPr>
          <w:rFonts w:hint="eastAsia" w:ascii="宋体" w:hAnsi="宋体" w:cs="宋体"/>
          <w:b/>
          <w:bCs/>
          <w:color w:val="auto"/>
          <w:kern w:val="0"/>
          <w:sz w:val="40"/>
          <w:szCs w:val="40"/>
          <w:highlight w:val="none"/>
          <w:lang w:val="en-US" w:eastAsia="zh-CN"/>
        </w:rPr>
      </w:pPr>
      <w:r>
        <w:rPr>
          <w:rFonts w:hint="eastAsia" w:ascii="宋体" w:hAnsi="宋体" w:cs="宋体"/>
          <w:b/>
          <w:bCs/>
          <w:color w:val="auto"/>
          <w:kern w:val="0"/>
          <w:sz w:val="40"/>
          <w:szCs w:val="40"/>
          <w:highlight w:val="none"/>
        </w:rPr>
        <w:t>项目名称:</w:t>
      </w:r>
      <w:r>
        <w:rPr>
          <w:rFonts w:hint="eastAsia" w:ascii="宋体" w:hAnsi="宋体" w:cs="宋体"/>
          <w:b/>
          <w:bCs/>
          <w:color w:val="auto"/>
          <w:kern w:val="0"/>
          <w:sz w:val="40"/>
          <w:szCs w:val="40"/>
          <w:highlight w:val="none"/>
          <w:lang w:val="en-US" w:eastAsia="zh-CN"/>
        </w:rPr>
        <w:t>第四次全国文物普查西南片区</w:t>
      </w:r>
    </w:p>
    <w:p w14:paraId="09EB7887">
      <w:pPr>
        <w:widowControl/>
        <w:shd w:val="clear" w:color="auto"/>
        <w:spacing w:line="500" w:lineRule="exact"/>
        <w:jc w:val="center"/>
        <w:rPr>
          <w:rFonts w:hint="eastAsia" w:ascii="宋体" w:hAnsi="宋体" w:eastAsia="宋体" w:cs="宋体"/>
          <w:b/>
          <w:bCs/>
          <w:color w:val="auto"/>
          <w:kern w:val="0"/>
          <w:sz w:val="40"/>
          <w:szCs w:val="40"/>
          <w:highlight w:val="none"/>
          <w:lang w:val="en-US" w:eastAsia="zh-CN"/>
        </w:rPr>
      </w:pPr>
      <w:r>
        <w:rPr>
          <w:rFonts w:hint="eastAsia" w:ascii="宋体" w:hAnsi="宋体" w:cs="宋体"/>
          <w:b/>
          <w:bCs/>
          <w:color w:val="auto"/>
          <w:kern w:val="0"/>
          <w:sz w:val="40"/>
          <w:szCs w:val="40"/>
          <w:highlight w:val="none"/>
          <w:lang w:val="en-US" w:eastAsia="zh-CN"/>
        </w:rPr>
        <w:t>验收轮训视频拍摄与制作</w:t>
      </w:r>
    </w:p>
    <w:p w14:paraId="3D3545C6">
      <w:pPr>
        <w:widowControl/>
        <w:spacing w:line="500" w:lineRule="exact"/>
        <w:jc w:val="center"/>
        <w:rPr>
          <w:rFonts w:hint="eastAsia" w:ascii="宋体" w:hAnsi="宋体" w:cs="宋体"/>
          <w:b/>
          <w:bCs/>
          <w:color w:val="auto"/>
          <w:kern w:val="0"/>
          <w:sz w:val="40"/>
          <w:szCs w:val="40"/>
          <w:highlight w:val="none"/>
        </w:rPr>
      </w:pPr>
    </w:p>
    <w:p w14:paraId="200BB122">
      <w:pPr>
        <w:widowControl/>
        <w:spacing w:line="500" w:lineRule="exact"/>
        <w:jc w:val="center"/>
        <w:rPr>
          <w:rFonts w:hint="eastAsia" w:ascii="宋体" w:hAnsi="宋体" w:cs="宋体"/>
          <w:b/>
          <w:bCs/>
          <w:color w:val="auto"/>
          <w:kern w:val="0"/>
          <w:sz w:val="40"/>
          <w:szCs w:val="40"/>
          <w:highlight w:val="none"/>
        </w:rPr>
      </w:pPr>
    </w:p>
    <w:p w14:paraId="19CFF42A">
      <w:pPr>
        <w:widowControl/>
        <w:spacing w:line="500" w:lineRule="exact"/>
        <w:jc w:val="center"/>
        <w:rPr>
          <w:rFonts w:hint="eastAsia" w:ascii="宋体" w:hAnsi="宋体" w:cs="宋体"/>
          <w:b/>
          <w:bCs/>
          <w:color w:val="auto"/>
          <w:kern w:val="0"/>
          <w:sz w:val="40"/>
          <w:szCs w:val="40"/>
          <w:highlight w:val="none"/>
        </w:rPr>
      </w:pPr>
    </w:p>
    <w:p w14:paraId="3FF1ACE7">
      <w:pPr>
        <w:widowControl/>
        <w:spacing w:line="500" w:lineRule="exact"/>
        <w:jc w:val="center"/>
        <w:rPr>
          <w:rFonts w:hint="eastAsia"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采购人：重庆市文物考古研究院</w:t>
      </w:r>
    </w:p>
    <w:p w14:paraId="014F3268">
      <w:pPr>
        <w:widowControl/>
        <w:spacing w:line="500" w:lineRule="exact"/>
        <w:jc w:val="center"/>
        <w:rPr>
          <w:rFonts w:hint="eastAsia"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 xml:space="preserve">        （重庆文化遗产保护中心）</w:t>
      </w:r>
    </w:p>
    <w:p w14:paraId="45A42070">
      <w:pPr>
        <w:widowControl/>
        <w:spacing w:line="500" w:lineRule="exact"/>
        <w:jc w:val="center"/>
        <w:rPr>
          <w:rFonts w:hint="eastAsia" w:ascii="宋体" w:hAnsi="宋体" w:cs="宋体"/>
          <w:b/>
          <w:bCs/>
          <w:color w:val="auto"/>
          <w:kern w:val="0"/>
          <w:sz w:val="40"/>
          <w:szCs w:val="40"/>
          <w:highlight w:val="none"/>
        </w:rPr>
      </w:pPr>
    </w:p>
    <w:p w14:paraId="2894E337">
      <w:pPr>
        <w:widowControl/>
        <w:spacing w:line="500" w:lineRule="exact"/>
        <w:jc w:val="center"/>
        <w:rPr>
          <w:rFonts w:hint="eastAsia" w:ascii="宋体" w:hAnsi="宋体" w:cs="宋体"/>
          <w:b/>
          <w:bCs/>
          <w:color w:val="auto"/>
          <w:kern w:val="0"/>
          <w:sz w:val="40"/>
          <w:szCs w:val="40"/>
          <w:highlight w:val="none"/>
        </w:rPr>
      </w:pPr>
    </w:p>
    <w:p w14:paraId="144E3FE6">
      <w:pPr>
        <w:widowControl/>
        <w:spacing w:line="500" w:lineRule="exact"/>
        <w:jc w:val="center"/>
        <w:rPr>
          <w:rFonts w:hint="eastAsia" w:ascii="宋体" w:hAnsi="宋体" w:cs="宋体"/>
          <w:b/>
          <w:bCs/>
          <w:color w:val="auto"/>
          <w:kern w:val="0"/>
          <w:sz w:val="40"/>
          <w:szCs w:val="40"/>
          <w:highlight w:val="none"/>
        </w:rPr>
      </w:pPr>
    </w:p>
    <w:p w14:paraId="2747CAB5">
      <w:pPr>
        <w:widowControl/>
        <w:spacing w:line="500" w:lineRule="exact"/>
        <w:jc w:val="center"/>
        <w:rPr>
          <w:rFonts w:hint="eastAsia" w:ascii="宋体" w:hAnsi="宋体" w:cs="宋体"/>
          <w:b/>
          <w:bCs/>
          <w:color w:val="auto"/>
          <w:kern w:val="0"/>
          <w:sz w:val="40"/>
          <w:szCs w:val="40"/>
          <w:highlight w:val="none"/>
        </w:rPr>
      </w:pPr>
    </w:p>
    <w:p w14:paraId="11833078">
      <w:pPr>
        <w:widowControl/>
        <w:spacing w:line="500" w:lineRule="exact"/>
        <w:jc w:val="center"/>
        <w:rPr>
          <w:rFonts w:hint="eastAsia" w:ascii="宋体" w:hAnsi="宋体" w:cs="宋体"/>
          <w:b/>
          <w:bCs/>
          <w:color w:val="auto"/>
          <w:kern w:val="0"/>
          <w:sz w:val="40"/>
          <w:szCs w:val="40"/>
          <w:highlight w:val="none"/>
        </w:rPr>
      </w:pPr>
    </w:p>
    <w:p w14:paraId="32C27B0E">
      <w:pPr>
        <w:widowControl/>
        <w:spacing w:line="500" w:lineRule="exact"/>
        <w:jc w:val="center"/>
        <w:rPr>
          <w:rFonts w:hint="eastAsia" w:ascii="宋体" w:hAnsi="宋体" w:cs="宋体"/>
          <w:b/>
          <w:bCs/>
          <w:color w:val="auto"/>
          <w:kern w:val="0"/>
          <w:sz w:val="40"/>
          <w:szCs w:val="40"/>
          <w:highlight w:val="none"/>
        </w:rPr>
      </w:pPr>
      <w:r>
        <w:rPr>
          <w:rFonts w:hint="eastAsia" w:ascii="宋体" w:hAnsi="宋体" w:cs="宋体"/>
          <w:b/>
          <w:bCs/>
          <w:color w:val="auto"/>
          <w:kern w:val="0"/>
          <w:sz w:val="40"/>
          <w:szCs w:val="40"/>
          <w:highlight w:val="none"/>
        </w:rPr>
        <w:t>二〇</w:t>
      </w:r>
      <w:r>
        <w:rPr>
          <w:rFonts w:hint="eastAsia" w:ascii="宋体" w:hAnsi="宋体" w:cs="宋体"/>
          <w:b/>
          <w:bCs/>
          <w:color w:val="auto"/>
          <w:kern w:val="0"/>
          <w:sz w:val="40"/>
          <w:szCs w:val="40"/>
          <w:highlight w:val="none"/>
          <w:lang w:val="en-US" w:eastAsia="zh-CN"/>
        </w:rPr>
        <w:t>二六</w:t>
      </w:r>
      <w:r>
        <w:rPr>
          <w:rFonts w:hint="eastAsia" w:ascii="宋体" w:hAnsi="宋体" w:cs="宋体"/>
          <w:b/>
          <w:bCs/>
          <w:color w:val="auto"/>
          <w:kern w:val="0"/>
          <w:sz w:val="40"/>
          <w:szCs w:val="40"/>
          <w:highlight w:val="none"/>
        </w:rPr>
        <w:t>年</w:t>
      </w:r>
      <w:r>
        <w:rPr>
          <w:rFonts w:hint="eastAsia" w:ascii="宋体" w:hAnsi="宋体" w:cs="宋体"/>
          <w:b/>
          <w:bCs/>
          <w:color w:val="auto"/>
          <w:kern w:val="0"/>
          <w:sz w:val="40"/>
          <w:szCs w:val="40"/>
          <w:highlight w:val="none"/>
          <w:lang w:val="en-US" w:eastAsia="zh-CN"/>
        </w:rPr>
        <w:t>一</w:t>
      </w:r>
      <w:r>
        <w:rPr>
          <w:rFonts w:hint="eastAsia" w:ascii="宋体" w:hAnsi="宋体" w:cs="宋体"/>
          <w:b/>
          <w:bCs/>
          <w:color w:val="auto"/>
          <w:kern w:val="0"/>
          <w:sz w:val="40"/>
          <w:szCs w:val="40"/>
          <w:highlight w:val="none"/>
        </w:rPr>
        <w:t>月</w:t>
      </w:r>
    </w:p>
    <w:p w14:paraId="6EF37D16">
      <w:pPr>
        <w:widowControl/>
        <w:spacing w:line="500" w:lineRule="exact"/>
        <w:jc w:val="center"/>
        <w:rPr>
          <w:rFonts w:hint="eastAsia" w:ascii="宋体" w:hAnsi="宋体" w:cs="宋体"/>
          <w:b/>
          <w:bCs/>
          <w:color w:val="auto"/>
          <w:kern w:val="0"/>
          <w:sz w:val="40"/>
          <w:szCs w:val="40"/>
          <w:highlight w:val="none"/>
        </w:rPr>
      </w:pPr>
    </w:p>
    <w:p w14:paraId="5EF0E434">
      <w:pPr>
        <w:widowControl/>
        <w:spacing w:line="500" w:lineRule="exact"/>
        <w:rPr>
          <w:rFonts w:hint="eastAsia" w:ascii="宋体" w:hAnsi="宋体" w:cs="宋体"/>
          <w:b/>
          <w:bCs/>
          <w:color w:val="auto"/>
          <w:kern w:val="0"/>
          <w:sz w:val="32"/>
          <w:szCs w:val="32"/>
          <w:highlight w:val="none"/>
        </w:rPr>
      </w:pPr>
    </w:p>
    <w:p w14:paraId="7E6A4E72">
      <w:pPr>
        <w:widowControl/>
        <w:spacing w:line="500" w:lineRule="exact"/>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询价公告</w:t>
      </w:r>
    </w:p>
    <w:p w14:paraId="566E64A6">
      <w:pPr>
        <w:widowControl/>
        <w:spacing w:line="500" w:lineRule="exact"/>
        <w:rPr>
          <w:rFonts w:hint="eastAsia" w:ascii="宋体" w:hAnsi="宋体" w:cs="宋体"/>
          <w:b/>
          <w:bCs/>
          <w:color w:val="auto"/>
          <w:kern w:val="0"/>
          <w:sz w:val="32"/>
          <w:szCs w:val="32"/>
          <w:highlight w:val="none"/>
        </w:rPr>
      </w:pPr>
    </w:p>
    <w:p w14:paraId="75B7F0DC">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一、服务内容</w:t>
      </w:r>
    </w:p>
    <w:p w14:paraId="35B093B7">
      <w:pPr>
        <w:widowControl/>
        <w:spacing w:line="500" w:lineRule="exact"/>
        <w:ind w:firstLine="600" w:firstLineChars="250"/>
        <w:jc w:val="left"/>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第四次全国文物普查西南片区验收轮训视频的拍摄与制作，需系统反映普查验收的标准流程与操作方法，对规范验收行为、提升工作质量起到重要的指导作用。视频内容涵盖验收组织、数据审核、现场核查、报告撰写等关键环节，内容来源为室内课程讲座以及室外验收试点，并且全过程跟踪摄影摄像，全面采集视频素材和图像资料，为片区各级普查人员提供直观、实用的培训参考。</w:t>
      </w:r>
    </w:p>
    <w:p w14:paraId="69CF8EB9">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二、采购最高限价：</w:t>
      </w:r>
    </w:p>
    <w:p w14:paraId="69B82D03">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人民币</w:t>
      </w:r>
      <w:r>
        <w:rPr>
          <w:rFonts w:hint="eastAsia" w:ascii="宋体" w:hAnsi="宋体" w:cs="宋体"/>
          <w:color w:val="auto"/>
          <w:sz w:val="24"/>
          <w:szCs w:val="24"/>
          <w:highlight w:val="none"/>
          <w:lang w:val="en-US" w:eastAsia="zh-CN"/>
        </w:rPr>
        <w:t>25800</w:t>
      </w:r>
      <w:r>
        <w:rPr>
          <w:rFonts w:hint="eastAsia" w:ascii="宋体" w:hAnsi="宋体" w:cs="宋体"/>
          <w:color w:val="auto"/>
          <w:sz w:val="24"/>
          <w:szCs w:val="24"/>
          <w:highlight w:val="none"/>
        </w:rPr>
        <w:t>.00元，大写：</w:t>
      </w:r>
      <w:r>
        <w:rPr>
          <w:rFonts w:hint="eastAsia" w:ascii="宋体" w:hAnsi="宋体" w:cs="宋体"/>
          <w:color w:val="auto"/>
          <w:sz w:val="24"/>
          <w:szCs w:val="24"/>
          <w:highlight w:val="none"/>
          <w:lang w:val="en-US" w:eastAsia="zh-CN"/>
        </w:rPr>
        <w:t>贰万伍仟捌佰</w:t>
      </w:r>
      <w:r>
        <w:rPr>
          <w:rFonts w:hint="eastAsia" w:ascii="宋体" w:hAnsi="宋体" w:cs="宋体"/>
          <w:color w:val="auto"/>
          <w:sz w:val="24"/>
          <w:szCs w:val="24"/>
          <w:highlight w:val="none"/>
        </w:rPr>
        <w:t>元整。</w:t>
      </w:r>
    </w:p>
    <w:p w14:paraId="31A842BC">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三、</w:t>
      </w:r>
      <w:r>
        <w:rPr>
          <w:rFonts w:hint="eastAsia" w:ascii="宋体" w:hAnsi="宋体" w:cs="宋体"/>
          <w:b/>
          <w:color w:val="auto"/>
          <w:kern w:val="0"/>
          <w:sz w:val="24"/>
          <w:szCs w:val="24"/>
          <w:highlight w:val="none"/>
          <w:lang w:val="en-US" w:eastAsia="zh-CN"/>
        </w:rPr>
        <w:t>拍摄与制作</w:t>
      </w:r>
      <w:r>
        <w:rPr>
          <w:rFonts w:hint="eastAsia" w:ascii="宋体" w:hAnsi="宋体" w:cs="宋体"/>
          <w:b/>
          <w:color w:val="auto"/>
          <w:kern w:val="0"/>
          <w:sz w:val="24"/>
          <w:szCs w:val="24"/>
          <w:highlight w:val="none"/>
        </w:rPr>
        <w:t>要求</w:t>
      </w:r>
    </w:p>
    <w:p w14:paraId="7543D036">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拍摄执行</w:t>
      </w:r>
    </w:p>
    <w:p w14:paraId="009B8001">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1.周期与场地</w:t>
      </w:r>
    </w:p>
    <w:p w14:paraId="44424A89">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（1）总拍摄周期为</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个连续工作日。</w:t>
      </w:r>
    </w:p>
    <w:p w14:paraId="6F58AA87">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（2）其中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天为前期筹备记录，1</w:t>
      </w:r>
      <w:r>
        <w:rPr>
          <w:rFonts w:hint="eastAsia" w:ascii="宋体" w:hAnsi="宋体" w:cs="宋体"/>
          <w:color w:val="auto"/>
          <w:sz w:val="24"/>
          <w:szCs w:val="24"/>
          <w:highlight w:val="none"/>
        </w:rPr>
        <w:t>天用于室内课程讲座拍摄，</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天用于室外实地拍摄。场地需满足教学演示与多机位拍摄条件，具体地点由委托方指定。</w:t>
      </w:r>
    </w:p>
    <w:p w14:paraId="35D380EA">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2.设备与机位</w:t>
      </w:r>
    </w:p>
    <w:p w14:paraId="0F31EA83">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（1）采用</w:t>
      </w:r>
      <w:r>
        <w:rPr>
          <w:rFonts w:hint="eastAsia" w:ascii="宋体" w:hAnsi="宋体" w:cs="宋体"/>
          <w:color w:val="auto"/>
          <w:sz w:val="24"/>
          <w:szCs w:val="24"/>
          <w:highlight w:val="none"/>
          <w:lang w:val="en-US" w:eastAsia="zh-CN"/>
        </w:rPr>
        <w:t>三机位进行全程摄像</w:t>
      </w:r>
      <w:r>
        <w:rPr>
          <w:rFonts w:hint="eastAsia" w:ascii="宋体" w:hAnsi="宋体" w:cs="宋体"/>
          <w:color w:val="auto"/>
          <w:sz w:val="24"/>
          <w:szCs w:val="24"/>
          <w:highlight w:val="none"/>
        </w:rPr>
        <w:t>，确保课程内容的完整与稳定记录。</w:t>
      </w:r>
    </w:p>
    <w:p w14:paraId="5843FE9B">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（2）增设一个机动摄</w:t>
      </w:r>
      <w:r>
        <w:rPr>
          <w:rFonts w:hint="eastAsia" w:ascii="宋体" w:hAnsi="宋体" w:cs="宋体"/>
          <w:color w:val="auto"/>
          <w:sz w:val="24"/>
          <w:szCs w:val="24"/>
          <w:highlight w:val="none"/>
          <w:lang w:val="en-US" w:eastAsia="zh-CN"/>
        </w:rPr>
        <w:t>影</w:t>
      </w:r>
      <w:r>
        <w:rPr>
          <w:rFonts w:hint="eastAsia" w:ascii="宋体" w:hAnsi="宋体" w:cs="宋体"/>
          <w:color w:val="auto"/>
          <w:sz w:val="24"/>
          <w:szCs w:val="24"/>
          <w:highlight w:val="none"/>
        </w:rPr>
        <w:t>位，负责捕捉现场动态、特写镜头及室外环节的灵活跟拍，以丰富画面语言和素材细节。</w:t>
      </w:r>
    </w:p>
    <w:p w14:paraId="6D0FC465">
      <w:pPr>
        <w:widowControl/>
        <w:spacing w:line="500" w:lineRule="exact"/>
        <w:ind w:firstLine="600" w:firstLineChars="250"/>
        <w:jc w:val="left"/>
        <w:rPr>
          <w:rFonts w:hint="eastAsia" w:ascii="宋体" w:hAnsi="宋体" w:cs="宋体"/>
          <w:color w:val="auto"/>
          <w:sz w:val="24"/>
          <w:szCs w:val="24"/>
          <w:highlight w:val="none"/>
          <w:lang w:val="en-US"/>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后期制作</w:t>
      </w:r>
    </w:p>
    <w:p w14:paraId="354A6FC9">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1.剪辑与成片</w:t>
      </w:r>
    </w:p>
    <w:p w14:paraId="0059FC5E">
      <w:pPr>
        <w:widowControl/>
        <w:spacing w:line="500" w:lineRule="exact"/>
        <w:ind w:firstLine="600" w:firstLineChars="25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（1）对全部拍摄素材进行专业后期剪辑、包装，最终形成12个独立、完整的培训视频。</w:t>
      </w:r>
    </w:p>
    <w:p w14:paraId="544C1401">
      <w:pPr>
        <w:widowControl/>
        <w:spacing w:line="500" w:lineRule="exact"/>
        <w:ind w:firstLine="600" w:firstLineChars="25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（2）每个视频需结构清晰、主题明确，包含统一的片头片尾、标题字幕、必要的图形动画说明，并保证音画同步、画质高清。</w:t>
      </w:r>
    </w:p>
    <w:p w14:paraId="7D335BE0">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2.内容规范性</w:t>
      </w:r>
    </w:p>
    <w:p w14:paraId="2CB90735">
      <w:pPr>
        <w:widowControl/>
        <w:spacing w:line="500" w:lineRule="exact"/>
        <w:ind w:firstLine="600" w:firstLineChars="25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（1）系列视频内容必须严格遵循国家文物局关于第四次全国文物普查验收工作的相关政策、标准与规范。</w:t>
      </w:r>
    </w:p>
    <w:p w14:paraId="77C70098">
      <w:pPr>
        <w:widowControl/>
        <w:spacing w:line="500" w:lineRule="exact"/>
        <w:ind w:firstLine="600" w:firstLineChars="25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（2）最终成片需经委托方内容审核，并根据审核意见进行修改完善，确保其作为官方培训材料的准确性与权威性。</w:t>
      </w:r>
    </w:p>
    <w:p w14:paraId="3A243D11">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rPr>
        <w:t>）成果交付</w:t>
      </w:r>
    </w:p>
    <w:p w14:paraId="1558F34F">
      <w:pPr>
        <w:widowControl/>
        <w:spacing w:line="500" w:lineRule="exact"/>
        <w:ind w:firstLine="600" w:firstLineChars="25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交付内容</w:t>
      </w:r>
    </w:p>
    <w:p w14:paraId="7770C952">
      <w:pPr>
        <w:widowControl/>
        <w:spacing w:line="500" w:lineRule="exact"/>
        <w:ind w:firstLine="600" w:firstLineChars="25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（1）最终剪辑完成的12个培训视频成片，</w:t>
      </w:r>
      <w:r>
        <w:rPr>
          <w:rFonts w:hint="eastAsia" w:ascii="宋体" w:hAnsi="宋体" w:cs="宋体"/>
          <w:color w:val="auto"/>
          <w:sz w:val="24"/>
          <w:szCs w:val="24"/>
          <w:highlight w:val="none"/>
          <w:lang w:val="en-US" w:eastAsia="zh-CN"/>
        </w:rPr>
        <w:t>分辨率为：1920*1080，30fps</w:t>
      </w:r>
      <w:r>
        <w:rPr>
          <w:rFonts w:hint="eastAsia" w:ascii="宋体" w:hAnsi="宋体" w:cs="宋体"/>
          <w:color w:val="auto"/>
          <w:sz w:val="24"/>
          <w:szCs w:val="24"/>
          <w:highlight w:val="none"/>
          <w:lang w:eastAsia="zh-CN"/>
        </w:rPr>
        <w:t>（高清MP4格式）。</w:t>
      </w:r>
    </w:p>
    <w:p w14:paraId="542CD10A">
      <w:pPr>
        <w:widowControl/>
        <w:spacing w:line="500" w:lineRule="exact"/>
        <w:ind w:firstLine="600" w:firstLineChars="25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（2）全套视频的拍摄素材源文件（经整理后的原始拍摄数据，</w:t>
      </w:r>
      <w:r>
        <w:rPr>
          <w:rFonts w:hint="eastAsia" w:ascii="宋体" w:hAnsi="宋体" w:cs="宋体"/>
          <w:color w:val="auto"/>
          <w:sz w:val="24"/>
          <w:szCs w:val="24"/>
          <w:highlight w:val="none"/>
          <w:lang w:val="en-US" w:eastAsia="zh-CN"/>
        </w:rPr>
        <w:t>含视频与图像</w:t>
      </w:r>
      <w:r>
        <w:rPr>
          <w:rFonts w:hint="eastAsia" w:ascii="宋体" w:hAnsi="宋体" w:cs="宋体"/>
          <w:color w:val="auto"/>
          <w:sz w:val="24"/>
          <w:szCs w:val="24"/>
          <w:highlight w:val="none"/>
          <w:lang w:eastAsia="zh-CN"/>
        </w:rPr>
        <w:t>）。</w:t>
      </w:r>
    </w:p>
    <w:p w14:paraId="75B73E8F">
      <w:pPr>
        <w:widowControl/>
        <w:spacing w:line="500" w:lineRule="exact"/>
        <w:ind w:firstLine="600" w:firstLineChars="25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2.交付形式</w:t>
      </w:r>
    </w:p>
    <w:p w14:paraId="6C68FBAE">
      <w:pPr>
        <w:widowControl/>
        <w:spacing w:line="500" w:lineRule="exact"/>
        <w:ind w:firstLine="600" w:firstLineChars="25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（1）云端存储链接（有效期≥1年）。</w:t>
      </w:r>
    </w:p>
    <w:p w14:paraId="263BCFF6">
      <w:pPr>
        <w:widowControl/>
        <w:spacing w:line="500" w:lineRule="exact"/>
        <w:ind w:firstLine="600" w:firstLineChars="25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（2）交付后提供为期一年的成果内容存储与备份服务。</w:t>
      </w:r>
    </w:p>
    <w:p w14:paraId="7F8F8E2B">
      <w:pPr>
        <w:widowControl/>
        <w:spacing w:line="500" w:lineRule="exact"/>
        <w:ind w:firstLine="600" w:firstLineChars="25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（四）其他</w:t>
      </w:r>
    </w:p>
    <w:p w14:paraId="3C58818C">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项目执行过程中产生的所有差旅、交通、住宿等费用均由供应商自行承担，此部分成本应包含在项目总报价内。</w:t>
      </w:r>
    </w:p>
    <w:p w14:paraId="27F40868">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四、供应商资格要求</w:t>
      </w:r>
    </w:p>
    <w:p w14:paraId="397070B6">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1.具有独立承担民事责任能力；</w:t>
      </w:r>
    </w:p>
    <w:p w14:paraId="786853FD">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2.具有良好商业信誉；</w:t>
      </w:r>
    </w:p>
    <w:p w14:paraId="036C1638">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2E8AF9BC">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4B50CECC">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5.参与政府采购活动前三年，在经营过程中无重大无法记录；</w:t>
      </w:r>
    </w:p>
    <w:p w14:paraId="7B841918">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6.法律、行政法规规定的其它条件。</w:t>
      </w:r>
    </w:p>
    <w:p w14:paraId="02FFABA8">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7.特定资格条件：无。</w:t>
      </w:r>
    </w:p>
    <w:p w14:paraId="0587BE7F">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五、采购服务约定</w:t>
      </w:r>
    </w:p>
    <w:p w14:paraId="21D767F3">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1.服务周期</w:t>
      </w:r>
    </w:p>
    <w:p w14:paraId="23970894">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签订协议后</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个工作日内完成全部工作并经我院验收合格。</w:t>
      </w:r>
    </w:p>
    <w:p w14:paraId="0377C1D1">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2.服务地点</w:t>
      </w:r>
    </w:p>
    <w:p w14:paraId="559E9F37">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我院指定地点。</w:t>
      </w:r>
    </w:p>
    <w:p w14:paraId="6FD8CD37">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3.验收方式</w:t>
      </w:r>
    </w:p>
    <w:p w14:paraId="215C71FA">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通过甲方组织的验收。</w:t>
      </w:r>
    </w:p>
    <w:p w14:paraId="6D784934">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六、报价要求及成交原则</w:t>
      </w:r>
    </w:p>
    <w:p w14:paraId="39EFCE9B">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1.报价要求：</w:t>
      </w:r>
    </w:p>
    <w:p w14:paraId="6F5A0644">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本次报价须为人民币报价，包含服务费、工作人员工资、交通运输、后勤用品、技材、不可预见、安全措施、税费、运杂费、保险费、验收等所有费用。因成交供应商自身原因造成漏报、少报皆由其自行承担责任，我院不再补偿。</w:t>
      </w:r>
    </w:p>
    <w:p w14:paraId="7E7B5B30">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2.成交原则</w:t>
      </w:r>
    </w:p>
    <w:p w14:paraId="4F55F2F4">
      <w:pPr>
        <w:widowControl/>
        <w:spacing w:line="500" w:lineRule="exact"/>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在符合本次采购要求、质量和服务的前提下，按最低价法确定成交供应商。</w:t>
      </w:r>
    </w:p>
    <w:p w14:paraId="189F8CFF">
      <w:pPr>
        <w:pStyle w:val="6"/>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七、提交报价文件的份数和签署</w:t>
      </w:r>
    </w:p>
    <w:p w14:paraId="69AC4D3D">
      <w:pPr>
        <w:pStyle w:val="6"/>
        <w:ind w:left="238" w:leftChars="8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1.报价文件一式一份。</w:t>
      </w:r>
    </w:p>
    <w:p w14:paraId="372CEDCB">
      <w:pPr>
        <w:pStyle w:val="6"/>
        <w:ind w:left="238" w:leftChars="85"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2.在报价文件中规定签署、盖章的地方必须按其规定签署、盖章。否则视为无效报价。</w:t>
      </w:r>
    </w:p>
    <w:p w14:paraId="0D513BCC">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八、付款方式：</w:t>
      </w:r>
    </w:p>
    <w:p w14:paraId="5064C152">
      <w:pPr>
        <w:widowControl/>
        <w:spacing w:line="5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合同签订后，5个工作日内，我院支付合同约定30%服务费，成交供应商约定时间完成全部工作并经我院验收合格后5个工作日内，我院支付合同约定剩余70%服务费。成交供应商应在我院支付经费之前提供有效的票据，且成交供应商严格按照我院要求和格式提交相关资料，否则我院有权拒绝支付相关费用。</w:t>
      </w:r>
    </w:p>
    <w:p w14:paraId="297948D3">
      <w:pPr>
        <w:widowControl/>
        <w:spacing w:line="500" w:lineRule="exact"/>
        <w:ind w:firstLine="602" w:firstLineChars="250"/>
        <w:jc w:val="left"/>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九、报价要求</w:t>
      </w:r>
    </w:p>
    <w:p w14:paraId="1DDF055C">
      <w:pPr>
        <w:widowControl/>
        <w:spacing w:line="500" w:lineRule="exact"/>
        <w:ind w:firstLine="602" w:firstLineChars="250"/>
        <w:jc w:val="left"/>
        <w:rPr>
          <w:rFonts w:hint="eastAsia" w:ascii="宋体" w:hAnsi="宋体" w:cs="宋体"/>
          <w:color w:val="auto"/>
          <w:sz w:val="24"/>
          <w:szCs w:val="24"/>
          <w:highlight w:val="none"/>
        </w:rPr>
      </w:pPr>
      <w:r>
        <w:rPr>
          <w:rFonts w:hint="eastAsia" w:ascii="宋体" w:hAnsi="宋体" w:eastAsia="宋体" w:cs="宋体"/>
          <w:b/>
          <w:bCs/>
          <w:color w:val="auto"/>
          <w:sz w:val="24"/>
          <w:szCs w:val="24"/>
          <w:highlight w:val="none"/>
        </w:rPr>
        <w:t>报价文件</w:t>
      </w:r>
      <w:r>
        <w:rPr>
          <w:rFonts w:hint="eastAsia" w:ascii="宋体" w:hAnsi="宋体" w:eastAsia="宋体" w:cs="宋体"/>
          <w:b/>
          <w:bCs/>
          <w:color w:val="auto"/>
          <w:sz w:val="24"/>
          <w:szCs w:val="24"/>
          <w:highlight w:val="none"/>
          <w:lang w:val="en-US" w:eastAsia="zh-CN"/>
        </w:rPr>
        <w:t>密封后（在密封袋上注明项目名称）</w:t>
      </w:r>
      <w:r>
        <w:rPr>
          <w:rFonts w:hint="eastAsia" w:ascii="宋体" w:hAnsi="宋体" w:cs="宋体"/>
          <w:color w:val="auto"/>
          <w:sz w:val="24"/>
          <w:szCs w:val="24"/>
          <w:highlight w:val="none"/>
        </w:rPr>
        <w:t>请于202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日中午12：00时前以快递或当面送达的方式递交，凡超出上述时限送达的报价文件均拒绝接受并视为贵单位放弃参与本项目报价。报价统一采用本《询价文件》附件报价函</w:t>
      </w:r>
      <w:r>
        <w:rPr>
          <w:rFonts w:hint="eastAsia" w:ascii="宋体" w:hAnsi="宋体" w:cs="宋体"/>
          <w:color w:val="auto"/>
          <w:sz w:val="24"/>
          <w:szCs w:val="24"/>
          <w:highlight w:val="none"/>
          <w:lang w:val="en-US" w:eastAsia="zh-CN"/>
        </w:rPr>
        <w:t>和营业执照</w:t>
      </w:r>
      <w:r>
        <w:rPr>
          <w:rFonts w:hint="eastAsia" w:ascii="宋体" w:hAnsi="宋体" w:cs="宋体"/>
          <w:color w:val="auto"/>
          <w:sz w:val="24"/>
          <w:szCs w:val="24"/>
          <w:highlight w:val="none"/>
        </w:rPr>
        <w:t>，否则视为无效报价。</w:t>
      </w:r>
    </w:p>
    <w:p w14:paraId="63AC6663">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参与本项目询价的供应商不足3家的，则本项目重新开展询价。</w:t>
      </w:r>
    </w:p>
    <w:p w14:paraId="5B603DA6">
      <w:pPr>
        <w:widowControl/>
        <w:spacing w:line="500" w:lineRule="exact"/>
        <w:ind w:firstLine="600" w:firstLineChars="2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李</w:t>
      </w:r>
      <w:r>
        <w:rPr>
          <w:rFonts w:hint="eastAsia" w:ascii="宋体" w:hAnsi="宋体" w:cs="宋体"/>
          <w:color w:val="auto"/>
          <w:sz w:val="24"/>
          <w:szCs w:val="24"/>
          <w:highlight w:val="none"/>
        </w:rPr>
        <w:t>老师</w:t>
      </w:r>
    </w:p>
    <w:p w14:paraId="076A8AFE">
      <w:pPr>
        <w:widowControl/>
        <w:spacing w:line="500" w:lineRule="exact"/>
        <w:ind w:firstLine="600" w:firstLineChars="250"/>
        <w:jc w:val="left"/>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联系电话：023-6352</w:t>
      </w:r>
      <w:r>
        <w:rPr>
          <w:rFonts w:hint="eastAsia" w:ascii="宋体" w:hAnsi="宋体" w:cs="宋体"/>
          <w:color w:val="auto"/>
          <w:sz w:val="24"/>
          <w:szCs w:val="24"/>
          <w:highlight w:val="none"/>
          <w:lang w:val="en-US" w:eastAsia="zh-CN"/>
        </w:rPr>
        <w:t>3574</w:t>
      </w:r>
    </w:p>
    <w:p w14:paraId="14C532F9">
      <w:pPr>
        <w:widowControl/>
        <w:spacing w:line="500" w:lineRule="exact"/>
        <w:ind w:firstLine="600" w:firstLineChars="250"/>
        <w:jc w:val="left"/>
        <w:rPr>
          <w:rFonts w:hint="eastAsia" w:ascii="宋体" w:hAnsi="宋体" w:cs="宋体"/>
          <w:color w:val="auto"/>
          <w:kern w:val="0"/>
          <w:sz w:val="24"/>
          <w:szCs w:val="24"/>
          <w:highlight w:val="none"/>
        </w:rPr>
      </w:pPr>
      <w:r>
        <w:rPr>
          <w:rFonts w:hint="eastAsia" w:ascii="宋体" w:hAnsi="宋体" w:cs="宋体"/>
          <w:color w:val="auto"/>
          <w:sz w:val="24"/>
          <w:szCs w:val="24"/>
          <w:highlight w:val="none"/>
        </w:rPr>
        <w:t>邮寄地址：重庆市渝中区枇杷山正街72号重庆市文物考古研究院</w:t>
      </w:r>
    </w:p>
    <w:p w14:paraId="1C086064">
      <w:pPr>
        <w:pStyle w:val="2"/>
        <w:spacing w:line="44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十、其他</w:t>
      </w:r>
    </w:p>
    <w:p w14:paraId="37A1947A">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1.供应商向我院递交报价文件视为接受询价文件上述条款，并承诺工作成果必须达到上述条款的要求。</w:t>
      </w:r>
    </w:p>
    <w:p w14:paraId="146AC216">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2.供应商须自行承诺其提供的响应文件中所有证明材料真实有效，不存在弄虚作假情形。</w:t>
      </w:r>
    </w:p>
    <w:p w14:paraId="79E864CF">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院在采购合同签订前均有权对供应商提供的报价文件中所有内容进行核实，若发现弄虚作假，取消其成交资格，并按相关法律法规报上级主管部门或重庆市财政局监督部门处理，并承担因此造成的相关责任并赔偿相应损失。</w:t>
      </w:r>
    </w:p>
    <w:p w14:paraId="7BE3C582">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在采购合同签订后发现供应商提供的报价文件存在弄虚作假情形，有权立即解除合同，有权不退还其履约保证金（如有），并按相关法律法规报上级主管部门或重庆市财政局监督部门处理，并承担因此造成的相关责任并赔偿相应损失。</w:t>
      </w:r>
    </w:p>
    <w:p w14:paraId="539FC64E">
      <w:pPr>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5.凡有意参加询价的供应商，请于公告发布之日起至报名截止时间之前，在重庆市文物考古研究院官网（www.cqkaogu.</w:t>
      </w:r>
      <w:r>
        <w:rPr>
          <w:rFonts w:hint="eastAsia" w:ascii="宋体" w:hAnsi="宋体" w:cs="宋体"/>
          <w:color w:val="auto"/>
          <w:sz w:val="24"/>
          <w:szCs w:val="24"/>
          <w:highlight w:val="none"/>
          <w:lang w:val="en-US" w:eastAsia="zh-CN"/>
        </w:rPr>
        <w:t>cn</w:t>
      </w:r>
      <w:r>
        <w:rPr>
          <w:rFonts w:hint="eastAsia" w:ascii="宋体" w:hAnsi="宋体" w:cs="宋体"/>
          <w:color w:val="auto"/>
          <w:sz w:val="24"/>
          <w:szCs w:val="24"/>
          <w:highlight w:val="none"/>
        </w:rPr>
        <w:t>）上下载查看本项目询价文件以及变更公告等询价前公布的所有项目资料，无论供应商下载查看与否，均视为已知晓所有询价实质性要求内容。</w:t>
      </w:r>
    </w:p>
    <w:p w14:paraId="4FB29242">
      <w:pPr>
        <w:snapToGrid w:val="0"/>
        <w:spacing w:line="360" w:lineRule="auto"/>
        <w:ind w:firstLine="360" w:firstLineChars="150"/>
        <w:rPr>
          <w:rFonts w:hint="eastAsia" w:ascii="宋体" w:hAnsi="宋体" w:cs="宋体"/>
          <w:color w:val="auto"/>
          <w:sz w:val="24"/>
          <w:szCs w:val="24"/>
          <w:highlight w:val="none"/>
        </w:rPr>
      </w:pPr>
      <w:r>
        <w:rPr>
          <w:rFonts w:hint="eastAsia" w:cs="宋体"/>
          <w:color w:val="auto"/>
          <w:sz w:val="24"/>
          <w:szCs w:val="24"/>
          <w:highlight w:val="none"/>
        </w:rPr>
        <w:t>6.</w:t>
      </w:r>
      <w:r>
        <w:rPr>
          <w:rFonts w:hint="eastAsia" w:ascii="宋体" w:hAnsi="宋体" w:cs="宋体"/>
          <w:color w:val="auto"/>
          <w:sz w:val="24"/>
          <w:szCs w:val="24"/>
          <w:highlight w:val="none"/>
        </w:rPr>
        <w:t>单位负责人为同一人或者存在直接控股、管理关系的不同供应商，不得同时参与此次询价。</w:t>
      </w:r>
    </w:p>
    <w:p w14:paraId="11C56689">
      <w:pPr>
        <w:snapToGrid w:val="0"/>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7.本项目不接受联合体参与评审。</w:t>
      </w:r>
    </w:p>
    <w:p w14:paraId="12EADD3A">
      <w:pPr>
        <w:snapToGrid w:val="0"/>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8.不允许分包、转包。</w:t>
      </w:r>
    </w:p>
    <w:p w14:paraId="58CB531D">
      <w:pPr>
        <w:snapToGrid w:val="0"/>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9.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本院询价。</w:t>
      </w:r>
    </w:p>
    <w:p w14:paraId="73145BDC">
      <w:pPr>
        <w:snapToGrid w:val="0"/>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10.其他未尽事宜由供需双方在采购合同中详细约定。</w:t>
      </w:r>
    </w:p>
    <w:p w14:paraId="30FC6D82">
      <w:pPr>
        <w:snapToGrid w:val="0"/>
        <w:spacing w:line="360" w:lineRule="auto"/>
        <w:rPr>
          <w:rFonts w:hint="eastAsia" w:ascii="宋体" w:hAnsi="宋体" w:cs="宋体"/>
          <w:color w:val="auto"/>
          <w:sz w:val="24"/>
          <w:szCs w:val="24"/>
          <w:highlight w:val="none"/>
        </w:rPr>
      </w:pPr>
    </w:p>
    <w:p w14:paraId="7F2DE12C">
      <w:pPr>
        <w:snapToGrid w:val="0"/>
        <w:spacing w:line="360" w:lineRule="auto"/>
        <w:rPr>
          <w:rFonts w:hint="eastAsia" w:ascii="宋体" w:hAnsi="宋体" w:cs="宋体"/>
          <w:color w:val="auto"/>
          <w:sz w:val="24"/>
          <w:szCs w:val="24"/>
          <w:highlight w:val="none"/>
        </w:rPr>
      </w:pPr>
    </w:p>
    <w:p w14:paraId="56667E0B">
      <w:pPr>
        <w:rPr>
          <w:rFonts w:hint="eastAsia"/>
          <w:color w:val="auto"/>
          <w:highlight w:val="none"/>
        </w:rPr>
      </w:pPr>
      <w:r>
        <w:rPr>
          <w:rFonts w:hint="eastAsia"/>
          <w:color w:val="auto"/>
          <w:highlight w:val="none"/>
        </w:rPr>
        <w:br w:type="page"/>
      </w:r>
    </w:p>
    <w:p w14:paraId="6BB0BF43">
      <w:pPr>
        <w:rPr>
          <w:color w:val="auto"/>
          <w:highlight w:val="none"/>
        </w:rPr>
      </w:pPr>
      <w:r>
        <w:rPr>
          <w:rFonts w:hint="eastAsia"/>
          <w:color w:val="auto"/>
          <w:highlight w:val="none"/>
        </w:rPr>
        <w:t>附件</w:t>
      </w:r>
    </w:p>
    <w:p w14:paraId="2B89BD05">
      <w:pPr>
        <w:spacing w:line="400" w:lineRule="exact"/>
        <w:ind w:firstLine="482" w:firstLineChars="200"/>
        <w:rPr>
          <w:rFonts w:hint="eastAsia" w:ascii="宋体" w:hAnsi="宋体" w:cs="宋体"/>
          <w:b/>
          <w:bCs/>
          <w:color w:val="auto"/>
          <w:sz w:val="24"/>
          <w:szCs w:val="24"/>
          <w:highlight w:val="none"/>
        </w:rPr>
      </w:pPr>
    </w:p>
    <w:p w14:paraId="7EE7CB58">
      <w:pPr>
        <w:tabs>
          <w:tab w:val="left" w:pos="6300"/>
        </w:tabs>
        <w:snapToGrid w:val="0"/>
        <w:spacing w:line="360" w:lineRule="auto"/>
        <w:jc w:val="center"/>
        <w:rPr>
          <w:rFonts w:hint="eastAsia" w:ascii="宋体" w:hAnsi="宋体" w:cs="宋体"/>
          <w:b/>
          <w:color w:val="auto"/>
          <w:szCs w:val="28"/>
          <w:highlight w:val="none"/>
        </w:rPr>
      </w:pPr>
      <w:r>
        <w:rPr>
          <w:rFonts w:hint="eastAsia" w:ascii="宋体" w:hAnsi="宋体" w:cs="宋体"/>
          <w:b/>
          <w:color w:val="auto"/>
          <w:szCs w:val="28"/>
          <w:highlight w:val="none"/>
        </w:rPr>
        <w:t>报价函</w:t>
      </w:r>
    </w:p>
    <w:p w14:paraId="7127B338">
      <w:pPr>
        <w:tabs>
          <w:tab w:val="left" w:pos="6300"/>
        </w:tabs>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（采购人名称）</w:t>
      </w:r>
      <w:r>
        <w:rPr>
          <w:rFonts w:hint="eastAsia" w:ascii="宋体" w:hAnsi="宋体" w:cs="宋体"/>
          <w:color w:val="auto"/>
          <w:sz w:val="24"/>
          <w:szCs w:val="24"/>
          <w:highlight w:val="none"/>
        </w:rPr>
        <w:t>：</w:t>
      </w:r>
    </w:p>
    <w:p w14:paraId="6465B874">
      <w:pPr>
        <w:tabs>
          <w:tab w:val="left" w:pos="6300"/>
        </w:tabs>
        <w:snapToGrid w:val="0"/>
        <w:spacing w:line="360" w:lineRule="auto"/>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我方收到</w:t>
      </w:r>
      <w:r>
        <w:rPr>
          <w:rFonts w:hint="eastAsia" w:ascii="宋体" w:hAnsi="宋体" w:cs="宋体"/>
          <w:color w:val="auto"/>
          <w:sz w:val="24"/>
          <w:szCs w:val="24"/>
          <w:highlight w:val="none"/>
          <w:u w:val="single"/>
        </w:rPr>
        <w:t>（询价项目名称）</w:t>
      </w:r>
      <w:r>
        <w:rPr>
          <w:rFonts w:hint="eastAsia" w:ascii="宋体" w:hAnsi="宋体" w:cs="宋体"/>
          <w:color w:val="auto"/>
          <w:sz w:val="24"/>
          <w:szCs w:val="24"/>
          <w:highlight w:val="none"/>
        </w:rPr>
        <w:t>的询价文件，经详细研究，决定参加该询价项目的报价。</w:t>
      </w:r>
    </w:p>
    <w:p w14:paraId="20C364A7">
      <w:pPr>
        <w:tabs>
          <w:tab w:val="left" w:pos="6300"/>
        </w:tabs>
        <w:snapToGrid w:val="0"/>
        <w:spacing w:line="360" w:lineRule="auto"/>
        <w:ind w:left="478" w:leftChars="85" w:hanging="240" w:hangingChars="100"/>
        <w:rPr>
          <w:rFonts w:hint="eastAsia" w:ascii="宋体" w:hAnsi="宋体" w:cs="宋体"/>
          <w:color w:val="auto"/>
          <w:sz w:val="24"/>
          <w:szCs w:val="24"/>
          <w:highlight w:val="none"/>
        </w:rPr>
      </w:pPr>
      <w:r>
        <w:rPr>
          <w:rFonts w:hint="eastAsia" w:ascii="宋体" w:hAnsi="宋体" w:cs="宋体"/>
          <w:color w:val="auto"/>
          <w:sz w:val="24"/>
          <w:szCs w:val="24"/>
          <w:highlight w:val="none"/>
        </w:rPr>
        <w:t>1.愿意按照询价文件中的一切要求，提供本项目的服务，最终报价为人民币</w:t>
      </w:r>
      <w:r>
        <w:rPr>
          <w:rFonts w:hint="eastAsia" w:ascii="宋体" w:hAnsi="宋体" w:cs="宋体"/>
          <w:color w:val="auto"/>
          <w:sz w:val="24"/>
          <w:szCs w:val="24"/>
          <w:highlight w:val="none"/>
          <w:u w:val="single"/>
        </w:rPr>
        <w:t xml:space="preserve">    元，大写：     整</w:t>
      </w:r>
      <w:r>
        <w:rPr>
          <w:rFonts w:hint="eastAsia" w:ascii="宋体" w:hAnsi="宋体" w:cs="宋体"/>
          <w:color w:val="auto"/>
          <w:sz w:val="24"/>
          <w:szCs w:val="24"/>
          <w:highlight w:val="none"/>
        </w:rPr>
        <w:t>。</w:t>
      </w:r>
    </w:p>
    <w:p w14:paraId="3A4D3360">
      <w:pPr>
        <w:tabs>
          <w:tab w:val="left" w:pos="6300"/>
        </w:tabs>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2.我方完全理解和接受贵方询价文件的一切规定和要求及评审办法。</w:t>
      </w:r>
    </w:p>
    <w:p w14:paraId="5F1D79D2">
      <w:pPr>
        <w:pStyle w:val="10"/>
        <w:ind w:firstLine="240" w:firstLineChars="100"/>
        <w:rPr>
          <w:rFonts w:hint="eastAsia" w:eastAsia="宋体"/>
          <w:color w:val="auto"/>
          <w:highlight w:val="none"/>
        </w:rPr>
      </w:pPr>
      <w:r>
        <w:rPr>
          <w:rFonts w:hint="eastAsia" w:eastAsia="宋体" w:cs="宋体"/>
          <w:color w:val="auto"/>
          <w:szCs w:val="24"/>
          <w:highlight w:val="none"/>
        </w:rPr>
        <w:t>3.我方承诺完全符合本《询价文件》供应商资格要求及其他要求，并</w:t>
      </w:r>
      <w:r>
        <w:rPr>
          <w:rFonts w:hint="eastAsia" w:eastAsia="宋体" w:cs="宋体"/>
          <w:color w:val="auto"/>
          <w:highlight w:val="none"/>
        </w:rPr>
        <w:t>对本报价函承诺负全部法律责任。</w:t>
      </w:r>
    </w:p>
    <w:p w14:paraId="3CE56C2B">
      <w:pPr>
        <w:tabs>
          <w:tab w:val="left" w:pos="6300"/>
        </w:tabs>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4.在整个询价过程中，我方若有违规行为，接受按照《中华人民共和国政府采购法》和《询价文件》之规定给予惩罚。</w:t>
      </w:r>
    </w:p>
    <w:p w14:paraId="43B66B3C">
      <w:pPr>
        <w:tabs>
          <w:tab w:val="left" w:pos="6300"/>
        </w:tabs>
        <w:snapToGrid w:val="0"/>
        <w:spacing w:line="360" w:lineRule="auto"/>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5.我方若成为成交供应商，将按照报价结果签订合同，并且严格履行合同义务。本报价函将成为合同不可分割的一部分，与合同具有同等的法律效力。</w:t>
      </w:r>
    </w:p>
    <w:p w14:paraId="29BCB0B9">
      <w:pPr>
        <w:tabs>
          <w:tab w:val="left" w:pos="6300"/>
        </w:tabs>
        <w:snapToGrid w:val="0"/>
        <w:spacing w:line="360" w:lineRule="auto"/>
        <w:ind w:firstLine="240" w:firstLineChars="100"/>
        <w:rPr>
          <w:rFonts w:hint="eastAsia" w:ascii="宋体" w:hAnsi="宋体" w:cs="宋体"/>
          <w:color w:val="auto"/>
          <w:sz w:val="24"/>
          <w:szCs w:val="24"/>
          <w:highlight w:val="none"/>
        </w:rPr>
      </w:pPr>
    </w:p>
    <w:p w14:paraId="76B8E4BC">
      <w:pPr>
        <w:tabs>
          <w:tab w:val="left" w:pos="6300"/>
        </w:tabs>
        <w:snapToGrid w:val="0"/>
        <w:spacing w:line="360" w:lineRule="auto"/>
        <w:ind w:firstLine="570"/>
        <w:rPr>
          <w:rFonts w:hint="eastAsia" w:ascii="宋体" w:hAnsi="宋体" w:cs="宋体"/>
          <w:color w:val="auto"/>
          <w:sz w:val="24"/>
          <w:szCs w:val="24"/>
          <w:highlight w:val="none"/>
        </w:rPr>
      </w:pPr>
    </w:p>
    <w:p w14:paraId="515F9771">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供应商（公章）签署：</w:t>
      </w:r>
    </w:p>
    <w:p w14:paraId="1A836BB3">
      <w:pPr>
        <w:pStyle w:val="10"/>
        <w:ind w:firstLine="480" w:firstLineChars="200"/>
        <w:rPr>
          <w:rFonts w:hint="eastAsia" w:eastAsia="宋体"/>
          <w:color w:val="auto"/>
          <w:highlight w:val="none"/>
        </w:rPr>
      </w:pPr>
      <w:r>
        <w:rPr>
          <w:rFonts w:hint="eastAsia" w:eastAsia="宋体" w:cs="宋体"/>
          <w:color w:val="auto"/>
          <w:szCs w:val="24"/>
          <w:highlight w:val="none"/>
        </w:rPr>
        <w:t>法定代表人（签字）：</w:t>
      </w:r>
    </w:p>
    <w:p w14:paraId="7BBFB5C4">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031D3305">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电话：                           传真：</w:t>
      </w:r>
    </w:p>
    <w:p w14:paraId="1C7B5067">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网址：                           邮编：</w:t>
      </w:r>
    </w:p>
    <w:p w14:paraId="637F23A2">
      <w:pPr>
        <w:tabs>
          <w:tab w:val="left" w:pos="6300"/>
        </w:tabs>
        <w:snapToGrid w:val="0"/>
        <w:spacing w:line="360"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p w14:paraId="183A211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7A7CF89D">
      <w:pPr>
        <w:rPr>
          <w:rFonts w:hint="default" w:ascii="宋体" w:hAnsi="宋体" w:cs="宋体"/>
          <w:b/>
          <w:color w:val="auto"/>
          <w:szCs w:val="28"/>
          <w:highlight w:val="none"/>
          <w:lang w:val="en-US" w:eastAsia="zh-CN"/>
        </w:rPr>
      </w:pPr>
      <w:r>
        <w:rPr>
          <w:rFonts w:hint="default" w:ascii="宋体" w:hAnsi="宋体" w:cs="宋体"/>
          <w:b/>
          <w:color w:val="auto"/>
          <w:szCs w:val="28"/>
          <w:highlight w:val="none"/>
          <w:lang w:val="en-US" w:eastAsia="zh-CN"/>
        </w:rPr>
        <w:br w:type="page"/>
      </w:r>
    </w:p>
    <w:p w14:paraId="41FBF26D">
      <w:pPr>
        <w:tabs>
          <w:tab w:val="left" w:pos="6300"/>
        </w:tabs>
        <w:snapToGrid w:val="0"/>
        <w:spacing w:line="360" w:lineRule="auto"/>
        <w:jc w:val="center"/>
        <w:rPr>
          <w:rFonts w:hint="default" w:ascii="宋体" w:hAnsi="宋体" w:cs="宋体"/>
          <w:b/>
          <w:color w:val="auto"/>
          <w:szCs w:val="28"/>
          <w:highlight w:val="none"/>
          <w:lang w:val="en-US" w:eastAsia="zh-CN"/>
        </w:rPr>
      </w:pPr>
      <w:r>
        <w:rPr>
          <w:rFonts w:hint="eastAsia" w:ascii="宋体" w:hAnsi="宋体" w:cs="宋体"/>
          <w:b/>
          <w:color w:val="auto"/>
          <w:szCs w:val="28"/>
          <w:highlight w:val="none"/>
          <w:lang w:val="en-US" w:eastAsia="zh-CN"/>
        </w:rPr>
        <w:t>营业执照</w:t>
      </w:r>
    </w:p>
    <w:p w14:paraId="16832B87">
      <w:pPr>
        <w:rPr>
          <w:rFonts w:hint="default" w:ascii="宋体" w:hAnsi="宋体" w:cs="宋体"/>
          <w:b/>
          <w:color w:val="auto"/>
          <w:szCs w:val="28"/>
          <w:highlight w:val="none"/>
          <w:lang w:val="en-US" w:eastAsia="zh-CN"/>
        </w:rPr>
      </w:pPr>
      <w:bookmarkStart w:id="0" w:name="_GoBack"/>
      <w:bookmarkEnd w:id="0"/>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82FBD9BC-F03F-409F-8194-4EC10E244E19}"/>
  </w:font>
  <w:font w:name="方正书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embedRegular r:id="rId2" w:fontKey="{CE9AB809-9332-454B-B98A-72ED29C7C7E4}"/>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jNWI3NDVkMWFmZDEwZDc1ZmM4MzZlZTgwMTQ0NTkifQ=="/>
  </w:docVars>
  <w:rsids>
    <w:rsidRoot w:val="59E049F9"/>
    <w:rsid w:val="000530C9"/>
    <w:rsid w:val="0017384A"/>
    <w:rsid w:val="001B364E"/>
    <w:rsid w:val="001D10D5"/>
    <w:rsid w:val="00246061"/>
    <w:rsid w:val="002778DC"/>
    <w:rsid w:val="002C59B8"/>
    <w:rsid w:val="00342047"/>
    <w:rsid w:val="003548C5"/>
    <w:rsid w:val="0036487C"/>
    <w:rsid w:val="00367CE0"/>
    <w:rsid w:val="00404D54"/>
    <w:rsid w:val="004569C2"/>
    <w:rsid w:val="004A3312"/>
    <w:rsid w:val="004F1934"/>
    <w:rsid w:val="00585846"/>
    <w:rsid w:val="005F4816"/>
    <w:rsid w:val="006346A0"/>
    <w:rsid w:val="006861B0"/>
    <w:rsid w:val="006E5CDE"/>
    <w:rsid w:val="00715B69"/>
    <w:rsid w:val="0073688F"/>
    <w:rsid w:val="007369A0"/>
    <w:rsid w:val="00786BF5"/>
    <w:rsid w:val="007B2FCE"/>
    <w:rsid w:val="007C1117"/>
    <w:rsid w:val="007C7BC8"/>
    <w:rsid w:val="008044CF"/>
    <w:rsid w:val="00885EA9"/>
    <w:rsid w:val="00A24EE8"/>
    <w:rsid w:val="00A27F46"/>
    <w:rsid w:val="00A47CE6"/>
    <w:rsid w:val="00A71452"/>
    <w:rsid w:val="00A87144"/>
    <w:rsid w:val="00A92D8F"/>
    <w:rsid w:val="00AE3302"/>
    <w:rsid w:val="00B41FBD"/>
    <w:rsid w:val="00B9351F"/>
    <w:rsid w:val="00BD3357"/>
    <w:rsid w:val="00C11603"/>
    <w:rsid w:val="00CB3D8C"/>
    <w:rsid w:val="00D048ED"/>
    <w:rsid w:val="00D115E7"/>
    <w:rsid w:val="00D119D7"/>
    <w:rsid w:val="00D31C7E"/>
    <w:rsid w:val="00D32689"/>
    <w:rsid w:val="00D363A9"/>
    <w:rsid w:val="00D70EC2"/>
    <w:rsid w:val="00DA54CF"/>
    <w:rsid w:val="00DA5DAF"/>
    <w:rsid w:val="00E57DE3"/>
    <w:rsid w:val="00E74F3B"/>
    <w:rsid w:val="00F0487F"/>
    <w:rsid w:val="00F4063A"/>
    <w:rsid w:val="00F41834"/>
    <w:rsid w:val="00F46C9A"/>
    <w:rsid w:val="00F479C0"/>
    <w:rsid w:val="01541EA9"/>
    <w:rsid w:val="01BB6372"/>
    <w:rsid w:val="02370EB3"/>
    <w:rsid w:val="0246755A"/>
    <w:rsid w:val="0396126E"/>
    <w:rsid w:val="03EE3EEF"/>
    <w:rsid w:val="04182746"/>
    <w:rsid w:val="049E66C8"/>
    <w:rsid w:val="04F82B4C"/>
    <w:rsid w:val="052027CE"/>
    <w:rsid w:val="058B3D03"/>
    <w:rsid w:val="09565C19"/>
    <w:rsid w:val="0A5F252F"/>
    <w:rsid w:val="0A6C61EE"/>
    <w:rsid w:val="0ACD1B3D"/>
    <w:rsid w:val="0ADD3FAE"/>
    <w:rsid w:val="0AEA1189"/>
    <w:rsid w:val="0B122005"/>
    <w:rsid w:val="0B9B45B4"/>
    <w:rsid w:val="0CDD2D53"/>
    <w:rsid w:val="0FDF1A48"/>
    <w:rsid w:val="10A32962"/>
    <w:rsid w:val="10D80D24"/>
    <w:rsid w:val="10E540B1"/>
    <w:rsid w:val="11A32B7B"/>
    <w:rsid w:val="12CF313E"/>
    <w:rsid w:val="1359450E"/>
    <w:rsid w:val="13BC198A"/>
    <w:rsid w:val="14863CD0"/>
    <w:rsid w:val="14B00D4D"/>
    <w:rsid w:val="16822ED3"/>
    <w:rsid w:val="17165485"/>
    <w:rsid w:val="171E4694"/>
    <w:rsid w:val="17865EB0"/>
    <w:rsid w:val="17D838A1"/>
    <w:rsid w:val="17F22A3B"/>
    <w:rsid w:val="181B0BD3"/>
    <w:rsid w:val="19882298"/>
    <w:rsid w:val="1A9F3EA8"/>
    <w:rsid w:val="1ADB110B"/>
    <w:rsid w:val="1AEF0DB2"/>
    <w:rsid w:val="1C4D015E"/>
    <w:rsid w:val="1C7E253A"/>
    <w:rsid w:val="1CBC0BD7"/>
    <w:rsid w:val="1E8E65A3"/>
    <w:rsid w:val="1EC105B6"/>
    <w:rsid w:val="1F5F3EF7"/>
    <w:rsid w:val="1F901016"/>
    <w:rsid w:val="201C3004"/>
    <w:rsid w:val="22013579"/>
    <w:rsid w:val="22C23138"/>
    <w:rsid w:val="25866B61"/>
    <w:rsid w:val="25981347"/>
    <w:rsid w:val="27321A96"/>
    <w:rsid w:val="27627608"/>
    <w:rsid w:val="288430D4"/>
    <w:rsid w:val="28D11CDD"/>
    <w:rsid w:val="296D5231"/>
    <w:rsid w:val="29FD0753"/>
    <w:rsid w:val="2ADA351A"/>
    <w:rsid w:val="2B070964"/>
    <w:rsid w:val="2BBF5B57"/>
    <w:rsid w:val="2BDB0D82"/>
    <w:rsid w:val="2C482A44"/>
    <w:rsid w:val="2C964A81"/>
    <w:rsid w:val="2D7C3A6A"/>
    <w:rsid w:val="2E8A1227"/>
    <w:rsid w:val="2EC211EA"/>
    <w:rsid w:val="2F4A14FC"/>
    <w:rsid w:val="31631F6B"/>
    <w:rsid w:val="31833619"/>
    <w:rsid w:val="32B23008"/>
    <w:rsid w:val="33C87CAE"/>
    <w:rsid w:val="344C4197"/>
    <w:rsid w:val="347F2794"/>
    <w:rsid w:val="34A62CC8"/>
    <w:rsid w:val="35BA15D4"/>
    <w:rsid w:val="35FE70D7"/>
    <w:rsid w:val="38F21115"/>
    <w:rsid w:val="3AA06FEA"/>
    <w:rsid w:val="3AE05CBA"/>
    <w:rsid w:val="3BC84EF0"/>
    <w:rsid w:val="3D6C3AFB"/>
    <w:rsid w:val="3E070106"/>
    <w:rsid w:val="3EA91A23"/>
    <w:rsid w:val="3F32042D"/>
    <w:rsid w:val="3F6D4DC7"/>
    <w:rsid w:val="3FAA549D"/>
    <w:rsid w:val="400362D1"/>
    <w:rsid w:val="40352467"/>
    <w:rsid w:val="41DE4E43"/>
    <w:rsid w:val="42C97966"/>
    <w:rsid w:val="43E066A9"/>
    <w:rsid w:val="443839C3"/>
    <w:rsid w:val="44A742AF"/>
    <w:rsid w:val="44CC1383"/>
    <w:rsid w:val="462F3918"/>
    <w:rsid w:val="46A10CDC"/>
    <w:rsid w:val="4763768D"/>
    <w:rsid w:val="49E46EBD"/>
    <w:rsid w:val="4AB443EC"/>
    <w:rsid w:val="4B4D21E9"/>
    <w:rsid w:val="4BB01561"/>
    <w:rsid w:val="4C6A5C4B"/>
    <w:rsid w:val="4D640BEB"/>
    <w:rsid w:val="4E6D0076"/>
    <w:rsid w:val="4E7D5950"/>
    <w:rsid w:val="4EF81F15"/>
    <w:rsid w:val="4FA76912"/>
    <w:rsid w:val="4FD95020"/>
    <w:rsid w:val="51D5531F"/>
    <w:rsid w:val="52901701"/>
    <w:rsid w:val="530A3D39"/>
    <w:rsid w:val="545E3D46"/>
    <w:rsid w:val="54EA0BB2"/>
    <w:rsid w:val="54FC26B7"/>
    <w:rsid w:val="550E7188"/>
    <w:rsid w:val="553D1193"/>
    <w:rsid w:val="56092234"/>
    <w:rsid w:val="56431446"/>
    <w:rsid w:val="583358A1"/>
    <w:rsid w:val="59E049F9"/>
    <w:rsid w:val="59ED08EF"/>
    <w:rsid w:val="5A027035"/>
    <w:rsid w:val="5BDB7D00"/>
    <w:rsid w:val="5DC0655D"/>
    <w:rsid w:val="5EC53368"/>
    <w:rsid w:val="5F105478"/>
    <w:rsid w:val="5F425BDA"/>
    <w:rsid w:val="609749F5"/>
    <w:rsid w:val="609805E0"/>
    <w:rsid w:val="60AF1486"/>
    <w:rsid w:val="613A51F3"/>
    <w:rsid w:val="618D1959"/>
    <w:rsid w:val="61F061FA"/>
    <w:rsid w:val="61FF3A72"/>
    <w:rsid w:val="622C3CB3"/>
    <w:rsid w:val="6372071E"/>
    <w:rsid w:val="63965AF7"/>
    <w:rsid w:val="63A07F6E"/>
    <w:rsid w:val="64A97ED8"/>
    <w:rsid w:val="65FA719A"/>
    <w:rsid w:val="66134265"/>
    <w:rsid w:val="6614334F"/>
    <w:rsid w:val="67515045"/>
    <w:rsid w:val="683C396D"/>
    <w:rsid w:val="69482477"/>
    <w:rsid w:val="69B95123"/>
    <w:rsid w:val="6B6B23FC"/>
    <w:rsid w:val="6D003795"/>
    <w:rsid w:val="6E7D7067"/>
    <w:rsid w:val="6E8B4092"/>
    <w:rsid w:val="71272553"/>
    <w:rsid w:val="71DD7F68"/>
    <w:rsid w:val="72FC6399"/>
    <w:rsid w:val="737F228F"/>
    <w:rsid w:val="74B9247B"/>
    <w:rsid w:val="74D16B07"/>
    <w:rsid w:val="75823C0D"/>
    <w:rsid w:val="778A4655"/>
    <w:rsid w:val="78153E6C"/>
    <w:rsid w:val="79EC7DDC"/>
    <w:rsid w:val="7AA8672C"/>
    <w:rsid w:val="7ADF3C60"/>
    <w:rsid w:val="7BE468E0"/>
    <w:rsid w:val="7D8A03A6"/>
    <w:rsid w:val="7E886628"/>
    <w:rsid w:val="7EAC2B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autoRedefine/>
    <w:qFormat/>
    <w:uiPriority w:val="0"/>
    <w:pPr>
      <w:keepNext/>
      <w:keepLines/>
      <w:spacing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line="413" w:lineRule="auto"/>
      <w:jc w:val="center"/>
      <w:outlineLvl w:val="2"/>
    </w:pPr>
    <w:rPr>
      <w:b/>
      <w:sz w:val="44"/>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autoRedefine/>
    <w:qFormat/>
    <w:uiPriority w:val="0"/>
    <w:rPr>
      <w:rFonts w:ascii="仿宋_GB2312" w:eastAsia="仿宋_GB2312"/>
      <w:sz w:val="32"/>
    </w:rPr>
  </w:style>
  <w:style w:type="paragraph" w:styleId="5">
    <w:name w:val="Plain Text"/>
    <w:basedOn w:val="1"/>
    <w:autoRedefine/>
    <w:qFormat/>
    <w:uiPriority w:val="0"/>
    <w:rPr>
      <w:rFonts w:ascii="宋体" w:hAnsi="Courier New"/>
      <w:sz w:val="21"/>
    </w:rPr>
  </w:style>
  <w:style w:type="paragraph" w:styleId="6">
    <w:name w:val="Body Text Indent 2"/>
    <w:basedOn w:val="1"/>
    <w:autoRedefine/>
    <w:qFormat/>
    <w:uiPriority w:val="0"/>
    <w:pPr>
      <w:snapToGrid w:val="0"/>
      <w:spacing w:line="560" w:lineRule="atLeast"/>
      <w:ind w:firstLine="540"/>
    </w:pPr>
  </w:style>
  <w:style w:type="paragraph" w:styleId="7">
    <w:name w:val="footer"/>
    <w:basedOn w:val="1"/>
    <w:link w:val="20"/>
    <w:autoRedefine/>
    <w:qFormat/>
    <w:uiPriority w:val="0"/>
    <w:pPr>
      <w:tabs>
        <w:tab w:val="center" w:pos="4153"/>
        <w:tab w:val="right" w:pos="8306"/>
      </w:tabs>
      <w:snapToGrid w:val="0"/>
      <w:jc w:val="left"/>
    </w:pPr>
    <w:rPr>
      <w:sz w:val="18"/>
      <w:szCs w:val="18"/>
    </w:rPr>
  </w:style>
  <w:style w:type="paragraph" w:styleId="8">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paragraph" w:styleId="10">
    <w:name w:val="Body Text First Indent"/>
    <w:basedOn w:val="4"/>
    <w:next w:val="11"/>
    <w:autoRedefine/>
    <w:qFormat/>
    <w:uiPriority w:val="0"/>
    <w:pPr>
      <w:spacing w:line="360" w:lineRule="auto"/>
      <w:ind w:firstLine="420"/>
    </w:pPr>
    <w:rPr>
      <w:rFonts w:ascii="宋体" w:hAnsi="宋体"/>
      <w:sz w:val="24"/>
    </w:rPr>
  </w:style>
  <w:style w:type="paragraph" w:customStyle="1" w:styleId="11">
    <w:name w:val="样式 正文首行缩进 + 首行缩进:  2 字符1 Char Char"/>
    <w:basedOn w:val="1"/>
    <w:autoRedefine/>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character" w:styleId="14">
    <w:name w:val="Strong"/>
    <w:basedOn w:val="13"/>
    <w:qFormat/>
    <w:uiPriority w:val="0"/>
    <w:rPr>
      <w:b/>
    </w:rPr>
  </w:style>
  <w:style w:type="paragraph" w:customStyle="1" w:styleId="15">
    <w:name w:val="正文格式"/>
    <w:basedOn w:val="16"/>
    <w:autoRedefine/>
    <w:qFormat/>
    <w:uiPriority w:val="0"/>
    <w:pPr>
      <w:widowControl/>
      <w:adjustRightInd w:val="0"/>
      <w:snapToGrid w:val="0"/>
      <w:spacing w:line="360" w:lineRule="auto"/>
      <w:ind w:firstLine="480" w:firstLineChars="200"/>
      <w:jc w:val="left"/>
      <w:textAlignment w:val="baseline"/>
    </w:pPr>
    <w:rPr>
      <w:rFonts w:ascii="宋体" w:hAnsi="宋体"/>
      <w:color w:val="000000"/>
      <w:kern w:val="0"/>
      <w:sz w:val="24"/>
    </w:rPr>
  </w:style>
  <w:style w:type="paragraph" w:customStyle="1" w:styleId="16">
    <w:name w:val="正文_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
    <w:name w:val="Heading3"/>
    <w:basedOn w:val="1"/>
    <w:next w:val="1"/>
    <w:autoRedefine/>
    <w:qFormat/>
    <w:uiPriority w:val="0"/>
    <w:pPr>
      <w:keepNext/>
      <w:keepLines/>
      <w:spacing w:before="260" w:after="260" w:line="412" w:lineRule="auto"/>
    </w:pPr>
    <w:rPr>
      <w:b/>
      <w:bCs/>
      <w:sz w:val="32"/>
      <w:szCs w:val="32"/>
    </w:rPr>
  </w:style>
  <w:style w:type="paragraph" w:customStyle="1" w:styleId="18">
    <w:name w:val="信息部正文"/>
    <w:basedOn w:val="1"/>
    <w:autoRedefine/>
    <w:qFormat/>
    <w:uiPriority w:val="0"/>
    <w:pPr>
      <w:ind w:firstLine="480" w:firstLineChars="200"/>
    </w:pPr>
    <w:rPr>
      <w:rFonts w:ascii="宋体" w:hAnsi="宋体" w:cs="宋体"/>
    </w:rPr>
  </w:style>
  <w:style w:type="character" w:customStyle="1" w:styleId="19">
    <w:name w:val="页眉 字符"/>
    <w:basedOn w:val="13"/>
    <w:link w:val="8"/>
    <w:autoRedefine/>
    <w:qFormat/>
    <w:uiPriority w:val="0"/>
    <w:rPr>
      <w:kern w:val="2"/>
      <w:sz w:val="18"/>
      <w:szCs w:val="18"/>
    </w:rPr>
  </w:style>
  <w:style w:type="character" w:customStyle="1" w:styleId="20">
    <w:name w:val="页脚 字符"/>
    <w:basedOn w:val="13"/>
    <w:link w:val="7"/>
    <w:autoRedefine/>
    <w:qFormat/>
    <w:uiPriority w:val="0"/>
    <w:rPr>
      <w:kern w:val="2"/>
      <w:sz w:val="18"/>
      <w:szCs w:val="18"/>
    </w:rPr>
  </w:style>
  <w:style w:type="paragraph" w:styleId="21">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2557</Words>
  <Characters>2656</Characters>
  <Lines>16</Lines>
  <Paragraphs>4</Paragraphs>
  <TotalTime>4</TotalTime>
  <ScaleCrop>false</ScaleCrop>
  <LinksUpToDate>false</LinksUpToDate>
  <CharactersWithSpaces>2768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2025-09-09T06:14:00Z</dcterms:created>
  <dc:creator>丹姐</dc:creator>
  <cp:lastModifiedBy>航</cp:lastModifiedBy>
  <cp:lastPrinted>2025-10-24T01:25:00Z</cp:lastPrinted>
  <dcterms:modified xsi:type="dcterms:W3CDTF">2026-01-05T09:03:09Z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5B329F0F301545199E9FAF01E6E08DED_13</vt:lpwstr>
  </property>
  <property fmtid="{D5CDD505-2E9C-101B-9397-08002B2CF9AE}" pid="4" name="KSOTemplateDocerSaveRecord">
    <vt:lpwstr>eyJoZGlkIjoiY2Y4Njg0NGFmMzgwOWY1MjIxY2RhNmQ5MDY0NGQxMDUiLCJ1c2VySWQiOiI0MzM3MDk0NTkifQ==</vt:lpwstr>
  </property>
</Properties>
</file>