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6082">
      <w:pPr>
        <w:widowControl/>
        <w:shd w:val="clear" w:color="auto" w:fill="FFFFFF"/>
        <w:spacing w:line="500" w:lineRule="exact"/>
        <w:jc w:val="center"/>
        <w:rPr>
          <w:rFonts w:eastAsia="方正仿宋_GBK" w:cs="宋体" w:asciiTheme="minorHAnsi" w:hAnsiTheme="minorHAnsi"/>
          <w:b/>
          <w:bCs/>
          <w:color w:val="auto"/>
          <w:kern w:val="0"/>
          <w:sz w:val="32"/>
          <w:szCs w:val="32"/>
          <w:highlight w:val="none"/>
        </w:rPr>
      </w:pPr>
    </w:p>
    <w:p w14:paraId="174EAB4D">
      <w:pPr>
        <w:widowControl/>
        <w:shd w:val="clear" w:color="auto" w:fill="FFFFFF"/>
        <w:spacing w:line="500" w:lineRule="exact"/>
        <w:rPr>
          <w:rFonts w:ascii="方正仿宋_GBK" w:hAnsi="宋体" w:eastAsia="方正仿宋_GBK" w:cs="宋体"/>
          <w:b/>
          <w:bCs/>
          <w:color w:val="auto"/>
          <w:kern w:val="0"/>
          <w:sz w:val="32"/>
          <w:szCs w:val="32"/>
          <w:highlight w:val="none"/>
        </w:rPr>
      </w:pPr>
    </w:p>
    <w:p w14:paraId="25658850">
      <w:pPr>
        <w:widowControl/>
        <w:shd w:val="clear" w:color="auto" w:fill="FFFFFF"/>
        <w:spacing w:line="500" w:lineRule="exact"/>
        <w:jc w:val="center"/>
        <w:rPr>
          <w:rFonts w:ascii="方正仿宋_GBK" w:hAnsi="宋体" w:eastAsia="方正仿宋_GBK" w:cs="宋体"/>
          <w:b/>
          <w:bCs/>
          <w:color w:val="auto"/>
          <w:kern w:val="0"/>
          <w:sz w:val="32"/>
          <w:szCs w:val="32"/>
          <w:highlight w:val="none"/>
        </w:rPr>
      </w:pPr>
    </w:p>
    <w:p w14:paraId="3249BC72">
      <w:pPr>
        <w:jc w:val="center"/>
        <w:rPr>
          <w:rFonts w:ascii="宋体" w:hAnsi="宋体" w:cs="宋体"/>
          <w:b/>
          <w:bCs/>
          <w:color w:val="auto"/>
          <w:spacing w:val="80"/>
          <w:sz w:val="260"/>
          <w:szCs w:val="260"/>
          <w:highlight w:val="none"/>
        </w:rPr>
      </w:pPr>
      <w:r>
        <w:rPr>
          <w:rFonts w:hint="eastAsia" w:ascii="宋体" w:hAnsi="宋体" w:cs="宋体"/>
          <w:b/>
          <w:bCs/>
          <w:color w:val="auto"/>
          <w:sz w:val="96"/>
          <w:szCs w:val="56"/>
          <w:highlight w:val="none"/>
          <w:lang w:eastAsia="zh-CN"/>
        </w:rPr>
        <w:t>询比</w:t>
      </w:r>
      <w:r>
        <w:rPr>
          <w:rFonts w:hint="eastAsia" w:ascii="宋体" w:hAnsi="宋体" w:cs="宋体"/>
          <w:b/>
          <w:bCs/>
          <w:color w:val="auto"/>
          <w:sz w:val="96"/>
          <w:szCs w:val="56"/>
          <w:highlight w:val="none"/>
        </w:rPr>
        <w:t>文件</w:t>
      </w:r>
    </w:p>
    <w:p w14:paraId="07308B52">
      <w:pPr>
        <w:spacing w:line="700" w:lineRule="exact"/>
        <w:ind w:left="3196" w:leftChars="570" w:hanging="1600" w:hangingChars="500"/>
        <w:rPr>
          <w:rFonts w:ascii="宋体" w:hAnsi="宋体" w:cs="宋体"/>
          <w:color w:val="auto"/>
          <w:sz w:val="32"/>
          <w:szCs w:val="32"/>
          <w:highlight w:val="none"/>
        </w:rPr>
      </w:pPr>
    </w:p>
    <w:p w14:paraId="1FF275BD">
      <w:pPr>
        <w:spacing w:line="700" w:lineRule="exact"/>
        <w:ind w:left="3196" w:leftChars="570" w:hanging="1600" w:hangingChars="500"/>
        <w:rPr>
          <w:rFonts w:ascii="宋体" w:hAnsi="宋体" w:cs="宋体"/>
          <w:color w:val="auto"/>
          <w:sz w:val="32"/>
          <w:szCs w:val="32"/>
          <w:highlight w:val="none"/>
        </w:rPr>
      </w:pPr>
    </w:p>
    <w:p w14:paraId="6CB03918">
      <w:pPr>
        <w:spacing w:line="700" w:lineRule="exact"/>
        <w:ind w:left="3196" w:leftChars="570" w:hanging="1600" w:hangingChars="500"/>
        <w:rPr>
          <w:rFonts w:ascii="宋体" w:hAnsi="宋体" w:cs="宋体"/>
          <w:color w:val="auto"/>
          <w:sz w:val="32"/>
          <w:szCs w:val="32"/>
          <w:highlight w:val="none"/>
        </w:rPr>
      </w:pPr>
    </w:p>
    <w:p w14:paraId="1308A7B3">
      <w:pPr>
        <w:spacing w:line="700" w:lineRule="exact"/>
        <w:ind w:left="3196" w:leftChars="570" w:hanging="1600" w:hangingChars="500"/>
        <w:rPr>
          <w:rFonts w:ascii="宋体" w:hAnsi="宋体" w:cs="宋体"/>
          <w:color w:val="auto"/>
          <w:sz w:val="32"/>
          <w:szCs w:val="32"/>
          <w:highlight w:val="none"/>
        </w:rPr>
      </w:pPr>
    </w:p>
    <w:p w14:paraId="6DA5026B">
      <w:pPr>
        <w:widowControl/>
        <w:shd w:val="clear" w:color="auto" w:fill="FFFFFF"/>
        <w:spacing w:line="500" w:lineRule="exact"/>
        <w:jc w:val="center"/>
        <w:rPr>
          <w:rFonts w:hint="eastAsia" w:ascii="宋体" w:hAnsi="宋体" w:eastAsia="宋体" w:cs="宋体"/>
          <w:b/>
          <w:bCs/>
          <w:color w:val="auto"/>
          <w:kern w:val="0"/>
          <w:sz w:val="40"/>
          <w:szCs w:val="40"/>
          <w:highlight w:val="none"/>
          <w:lang w:eastAsia="zh-CN"/>
        </w:rPr>
      </w:pPr>
      <w:r>
        <w:rPr>
          <w:rFonts w:hint="eastAsia" w:ascii="宋体" w:hAnsi="宋体" w:cs="宋体"/>
          <w:b/>
          <w:bCs/>
          <w:color w:val="auto"/>
          <w:kern w:val="0"/>
          <w:sz w:val="40"/>
          <w:szCs w:val="40"/>
          <w:highlight w:val="none"/>
        </w:rPr>
        <w:t>项目名称:重庆市文物考古研究院“十四五”基本建设考古项目数据集成</w:t>
      </w:r>
    </w:p>
    <w:p w14:paraId="1B6885B7">
      <w:pPr>
        <w:widowControl/>
        <w:shd w:val="clear" w:color="auto" w:fill="FFFFFF"/>
        <w:spacing w:line="500" w:lineRule="exact"/>
        <w:jc w:val="center"/>
        <w:rPr>
          <w:rFonts w:ascii="宋体" w:hAnsi="宋体" w:cs="宋体"/>
          <w:b/>
          <w:bCs/>
          <w:color w:val="auto"/>
          <w:kern w:val="0"/>
          <w:sz w:val="40"/>
          <w:szCs w:val="40"/>
          <w:highlight w:val="none"/>
        </w:rPr>
      </w:pPr>
    </w:p>
    <w:p w14:paraId="19B1E176">
      <w:pPr>
        <w:widowControl/>
        <w:shd w:val="clear" w:color="auto" w:fill="FFFFFF"/>
        <w:spacing w:line="500" w:lineRule="exact"/>
        <w:jc w:val="center"/>
        <w:rPr>
          <w:rFonts w:ascii="宋体" w:hAnsi="宋体" w:cs="宋体"/>
          <w:b/>
          <w:bCs/>
          <w:color w:val="auto"/>
          <w:kern w:val="0"/>
          <w:sz w:val="40"/>
          <w:szCs w:val="40"/>
          <w:highlight w:val="none"/>
        </w:rPr>
      </w:pPr>
    </w:p>
    <w:p w14:paraId="76170A6C">
      <w:pPr>
        <w:widowControl/>
        <w:shd w:val="clear" w:color="auto" w:fill="FFFFFF"/>
        <w:spacing w:line="500" w:lineRule="exact"/>
        <w:jc w:val="center"/>
        <w:rPr>
          <w:rFonts w:ascii="宋体" w:hAnsi="宋体" w:cs="宋体"/>
          <w:b/>
          <w:bCs/>
          <w:color w:val="auto"/>
          <w:kern w:val="0"/>
          <w:sz w:val="40"/>
          <w:szCs w:val="40"/>
          <w:highlight w:val="none"/>
        </w:rPr>
      </w:pPr>
    </w:p>
    <w:p w14:paraId="1DF528B4">
      <w:pPr>
        <w:widowControl/>
        <w:shd w:val="clear" w:color="auto" w:fill="FFFFFF"/>
        <w:spacing w:line="500" w:lineRule="exact"/>
        <w:jc w:val="center"/>
        <w:rPr>
          <w:rFonts w:ascii="宋体" w:hAnsi="宋体" w:cs="宋体"/>
          <w:b/>
          <w:bCs/>
          <w:color w:val="auto"/>
          <w:kern w:val="0"/>
          <w:sz w:val="40"/>
          <w:szCs w:val="40"/>
          <w:highlight w:val="none"/>
        </w:rPr>
      </w:pPr>
    </w:p>
    <w:p w14:paraId="3957207E">
      <w:pPr>
        <w:widowControl/>
        <w:shd w:val="clear" w:color="auto" w:fill="FFFFFF"/>
        <w:spacing w:line="500" w:lineRule="exact"/>
        <w:jc w:val="center"/>
        <w:rPr>
          <w:rFonts w:ascii="宋体" w:hAnsi="宋体" w:cs="宋体"/>
          <w:b/>
          <w:bCs/>
          <w:color w:val="auto"/>
          <w:kern w:val="0"/>
          <w:sz w:val="40"/>
          <w:szCs w:val="40"/>
          <w:highlight w:val="none"/>
        </w:rPr>
      </w:pPr>
    </w:p>
    <w:p w14:paraId="743EE5DC">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190806DB">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4AEA6683">
      <w:pPr>
        <w:widowControl/>
        <w:shd w:val="clear" w:color="auto" w:fill="FFFFFF"/>
        <w:spacing w:line="500" w:lineRule="exact"/>
        <w:jc w:val="center"/>
        <w:rPr>
          <w:rFonts w:ascii="宋体" w:hAnsi="宋体" w:cs="宋体"/>
          <w:b/>
          <w:bCs/>
          <w:color w:val="auto"/>
          <w:kern w:val="0"/>
          <w:sz w:val="32"/>
          <w:szCs w:val="32"/>
          <w:highlight w:val="none"/>
        </w:rPr>
      </w:pPr>
    </w:p>
    <w:p w14:paraId="3F02A9E9">
      <w:pPr>
        <w:widowControl/>
        <w:shd w:val="clear" w:color="auto" w:fill="FFFFFF"/>
        <w:spacing w:line="500" w:lineRule="exact"/>
        <w:jc w:val="center"/>
        <w:rPr>
          <w:rFonts w:ascii="宋体" w:hAnsi="宋体" w:cs="宋体"/>
          <w:b/>
          <w:bCs/>
          <w:color w:val="auto"/>
          <w:kern w:val="0"/>
          <w:sz w:val="32"/>
          <w:szCs w:val="32"/>
          <w:highlight w:val="none"/>
        </w:rPr>
      </w:pPr>
    </w:p>
    <w:p w14:paraId="0AC0F521">
      <w:pPr>
        <w:widowControl/>
        <w:shd w:val="clear" w:color="auto" w:fill="FFFFFF"/>
        <w:spacing w:line="500" w:lineRule="exact"/>
        <w:jc w:val="center"/>
        <w:rPr>
          <w:rFonts w:ascii="宋体" w:hAnsi="宋体" w:cs="宋体"/>
          <w:b/>
          <w:bCs/>
          <w:color w:val="auto"/>
          <w:kern w:val="0"/>
          <w:sz w:val="32"/>
          <w:szCs w:val="32"/>
          <w:highlight w:val="none"/>
        </w:rPr>
      </w:pPr>
    </w:p>
    <w:p w14:paraId="790C79C0">
      <w:pPr>
        <w:widowControl/>
        <w:shd w:val="clear" w:color="auto" w:fill="FFFFFF"/>
        <w:spacing w:line="500" w:lineRule="exact"/>
        <w:jc w:val="center"/>
        <w:rPr>
          <w:rFonts w:ascii="宋体" w:hAnsi="宋体" w:cs="宋体"/>
          <w:b/>
          <w:bCs/>
          <w:color w:val="auto"/>
          <w:kern w:val="0"/>
          <w:sz w:val="32"/>
          <w:szCs w:val="32"/>
          <w:highlight w:val="none"/>
        </w:rPr>
      </w:pPr>
    </w:p>
    <w:p w14:paraId="425E3F1B">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六</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三</w:t>
      </w:r>
      <w:r>
        <w:rPr>
          <w:rFonts w:hint="eastAsia" w:ascii="宋体" w:hAnsi="宋体" w:cs="宋体"/>
          <w:b/>
          <w:bCs/>
          <w:color w:val="auto"/>
          <w:kern w:val="0"/>
          <w:sz w:val="32"/>
          <w:szCs w:val="32"/>
          <w:highlight w:val="none"/>
        </w:rPr>
        <w:t>月</w:t>
      </w:r>
    </w:p>
    <w:p w14:paraId="5C7F8225">
      <w:pPr>
        <w:pStyle w:val="6"/>
        <w:spacing w:line="500" w:lineRule="exact"/>
        <w:rPr>
          <w:color w:val="auto"/>
          <w:highlight w:val="none"/>
        </w:rPr>
      </w:pPr>
    </w:p>
    <w:p w14:paraId="49BE8DF0">
      <w:pPr>
        <w:widowControl/>
        <w:shd w:val="clear" w:color="auto" w:fill="FFFFFF"/>
        <w:spacing w:line="500" w:lineRule="exact"/>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询比公告</w:t>
      </w:r>
    </w:p>
    <w:p w14:paraId="1702BD32">
      <w:pPr>
        <w:pStyle w:val="22"/>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一、</w:t>
      </w:r>
      <w:r>
        <w:rPr>
          <w:rFonts w:hint="eastAsia" w:ascii="宋体" w:hAnsi="宋体" w:cs="宋体"/>
          <w:b/>
          <w:bCs/>
          <w:color w:val="auto"/>
          <w:kern w:val="0"/>
          <w:sz w:val="24"/>
          <w:szCs w:val="24"/>
          <w:highlight w:val="none"/>
        </w:rPr>
        <w:t>服务内容</w:t>
      </w:r>
    </w:p>
    <w:p w14:paraId="7CA9FE09">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利用好我院“十四五”基本建设考古项目数据，我院将在现有OA系统上进行重庆市文物考古研究院“十四五”基本建设考古项目数据集成工作。主要内容包括：底图接入、通用查询、核心指标、立项管理、区域分布、十四五调查勘探详情、核心成果、项目合作、项目趋势、重点项目清单等功能。</w:t>
      </w:r>
    </w:p>
    <w:p w14:paraId="2BE495F0">
      <w:pPr>
        <w:widowControl/>
        <w:shd w:val="clear" w:color="auto" w:fill="FFFFFF"/>
        <w:spacing w:line="500" w:lineRule="exact"/>
        <w:ind w:firstLine="480" w:firstLineChars="200"/>
        <w:jc w:val="left"/>
        <w:rPr>
          <w:rFonts w:hint="default" w:ascii="宋体" w:hAnsi="宋体" w:cs="宋体"/>
          <w:color w:val="auto"/>
          <w:sz w:val="24"/>
          <w:szCs w:val="24"/>
          <w:highlight w:val="none"/>
          <w:lang w:val="en-US" w:eastAsia="zh-CN"/>
        </w:rPr>
      </w:pPr>
    </w:p>
    <w:p w14:paraId="4E6E2C90">
      <w:pPr>
        <w:pStyle w:val="9"/>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b/>
          <w:bCs/>
          <w:color w:val="auto"/>
          <w:kern w:val="0"/>
          <w:sz w:val="24"/>
          <w:szCs w:val="24"/>
          <w:highlight w:val="none"/>
        </w:rPr>
        <w:t>采购最高限价：</w:t>
      </w:r>
    </w:p>
    <w:p w14:paraId="2E60684A">
      <w:pPr>
        <w:widowControl/>
        <w:shd w:val="clear" w:color="auto" w:fill="FFFFFF"/>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48730</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lang w:val="en-US" w:eastAsia="zh-CN"/>
        </w:rPr>
        <w:t>肆万捌仟柒佰叁拾元整</w:t>
      </w:r>
      <w:r>
        <w:rPr>
          <w:rFonts w:hint="eastAsia" w:ascii="宋体" w:hAnsi="宋体" w:cs="宋体"/>
          <w:color w:val="auto"/>
          <w:sz w:val="24"/>
          <w:szCs w:val="24"/>
          <w:highlight w:val="none"/>
        </w:rPr>
        <w:t>。</w:t>
      </w:r>
    </w:p>
    <w:p w14:paraId="7568F310">
      <w:pPr>
        <w:pStyle w:val="9"/>
        <w:rPr>
          <w:color w:val="auto"/>
          <w:highlight w:val="none"/>
        </w:rPr>
      </w:pPr>
    </w:p>
    <w:p w14:paraId="1C9D6D03">
      <w:pPr>
        <w:widowControl/>
        <w:shd w:val="clear" w:color="auto" w:fill="FFFFFF"/>
        <w:spacing w:line="50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三、服务内容及技术要求</w:t>
      </w:r>
    </w:p>
    <w:p w14:paraId="65D4D766">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（一）平台基础（包含以下功能）</w:t>
      </w:r>
    </w:p>
    <w:p w14:paraId="1A003DC0">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1.基础功能</w:t>
      </w:r>
    </w:p>
    <w:p w14:paraId="114EFF9D">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1.1底图接入：根据行政区范围进行底图定位，可基于本地数据对行政区范围内的数据进行展示。</w:t>
      </w:r>
    </w:p>
    <w:p w14:paraId="2ADE79F2">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1.2通用查询：可通过鼠标交互进行数据的区域分布拾取信息，支持查询关联的数据信息或资料。</w:t>
      </w:r>
    </w:p>
    <w:p w14:paraId="37C32DD6">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（二）数据基础（包含以下功能）</w:t>
      </w:r>
    </w:p>
    <w:p w14:paraId="7446009C">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2.模块展示</w:t>
      </w:r>
    </w:p>
    <w:p w14:paraId="162B7541">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2.1核心指标：通过需求对接、数据整理归纳，形成“十四五”基本建设考古项目集成的核心指标，基于指标设计大屏板块样式，展示大屏核心数据。</w:t>
      </w:r>
    </w:p>
    <w:p w14:paraId="7457556A">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2.2立项管理：通过需求对接与数据整理，形成以“行业、类别全覆盖”和“规模、进展全流程”展示为核心的立项股管理指标。</w:t>
      </w:r>
    </w:p>
    <w:p w14:paraId="29A94EED">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2.3区域分布：通过整合项目地理信息和行政区划数据，形成“考古项目区域分布”核心指标。基于GIS地图组件鼠标交互设计大屏。</w:t>
      </w:r>
    </w:p>
    <w:p w14:paraId="5E6CE434">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2.4十四五调查勘探详情：</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通过对接田野考古工作数据，形成“勘探面积”、“勘探里程”和“发掘面积”核心指标。以年度发展趋势的形式展示十四五调查勘探的工作进程。</w:t>
      </w:r>
    </w:p>
    <w:p w14:paraId="597513B1">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2.5：核心成果</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：通过归纳整理考古成果数据，形成：“文物线索”、“文物点”等核心指标。展示十四五基本建设考古工作的核心成果。</w:t>
      </w:r>
    </w:p>
    <w:p w14:paraId="1178B2FE">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2.6项目合作：通过梳理项目参与方信息，形成“合作单位”与“项目主导占比”核心指标。</w:t>
      </w:r>
    </w:p>
    <w:p w14:paraId="1C3FF817">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2.7项目趋势：通过分析历史与当期项目数据，形成“项目数量”与“项目经费”核心指标。大屏采用图表组合布局。</w:t>
      </w:r>
    </w:p>
    <w:p w14:paraId="2C1AF1BB">
      <w:pPr>
        <w:widowControl/>
        <w:shd w:val="clear" w:color="auto" w:fill="FFFFFF"/>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2.8重点项目清单：通过筛选与聚焦关键项目，采用动态滚动清晰展示项目基本信息。</w:t>
      </w:r>
    </w:p>
    <w:p w14:paraId="4008AB30">
      <w:pPr>
        <w:widowControl/>
        <w:shd w:val="clear" w:color="auto" w:fill="FFFFFF"/>
        <w:spacing w:line="500" w:lineRule="exact"/>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3.验收：完成全部工作后，兼容匹配采购人现有OA系统。配合采购人完成试运行，并根据采购人反馈意见完成修改调整工作，通过采购人组织的验收。</w:t>
      </w:r>
    </w:p>
    <w:p w14:paraId="27001D6E">
      <w:pPr>
        <w:pStyle w:val="9"/>
        <w:rPr>
          <w:rFonts w:hint="eastAsia" w:ascii="宋体" w:hAnsi="宋体" w:eastAsia="宋体" w:cs="宋体"/>
          <w:color w:val="auto"/>
          <w:sz w:val="24"/>
          <w:szCs w:val="24"/>
          <w:highlight w:val="none"/>
          <w:lang w:val="en-US" w:eastAsia="zh-CN"/>
        </w:rPr>
      </w:pPr>
    </w:p>
    <w:p w14:paraId="25887D6D">
      <w:pPr>
        <w:widowControl/>
        <w:shd w:val="clear" w:color="auto" w:fill="FFFFFF"/>
        <w:spacing w:line="500" w:lineRule="exact"/>
        <w:ind w:left="238" w:leftChars="85" w:firstLine="241" w:firstLineChars="100"/>
        <w:jc w:val="left"/>
        <w:rPr>
          <w:rFonts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rPr>
        <w:t>四、供应商资格要求</w:t>
      </w:r>
    </w:p>
    <w:p w14:paraId="52878ADE">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0044299E">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42B0512D">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648D8B5">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61A9FD1">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5.参与政府采购活动前三年，在经营过程中无重大无法记录；</w:t>
      </w:r>
    </w:p>
    <w:p w14:paraId="4F72D420">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05845414">
      <w:pPr>
        <w:widowControl/>
        <w:shd w:val="clear" w:color="auto" w:fill="FFFFFF"/>
        <w:spacing w:line="500" w:lineRule="exact"/>
        <w:ind w:firstLine="480" w:firstLineChars="200"/>
        <w:jc w:val="left"/>
        <w:rPr>
          <w:rFonts w:hint="eastAsia"/>
          <w:color w:val="auto"/>
          <w:highlight w:val="none"/>
          <w:lang w:val="en-US" w:eastAsia="zh-CN"/>
        </w:rPr>
      </w:pPr>
      <w:r>
        <w:rPr>
          <w:rFonts w:hint="eastAsia" w:ascii="宋体" w:hAnsi="宋体" w:cs="宋体"/>
          <w:color w:val="auto"/>
          <w:sz w:val="24"/>
          <w:szCs w:val="24"/>
          <w:highlight w:val="none"/>
        </w:rPr>
        <w:t>7.特定资格条件：无</w:t>
      </w:r>
    </w:p>
    <w:p w14:paraId="0E835661">
      <w:pPr>
        <w:pStyle w:val="9"/>
        <w:rPr>
          <w:color w:val="auto"/>
          <w:highlight w:val="none"/>
        </w:rPr>
      </w:pPr>
    </w:p>
    <w:p w14:paraId="5DCB2B13">
      <w:pPr>
        <w:widowControl/>
        <w:shd w:val="clear" w:color="auto" w:fill="FFFFFF"/>
        <w:spacing w:line="500" w:lineRule="exact"/>
        <w:ind w:left="238" w:leftChars="85" w:firstLine="241" w:firstLineChars="1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4A5F835A">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1.服务周期</w:t>
      </w:r>
    </w:p>
    <w:p w14:paraId="3EE0C427">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自合同签订之日起，30个工作日内完成全部服务工作并通过采购人验收。</w:t>
      </w:r>
    </w:p>
    <w:p w14:paraId="0F12DB86">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2.服务地点</w:t>
      </w:r>
    </w:p>
    <w:p w14:paraId="75292B88">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服务地点：采购人指定地点。</w:t>
      </w:r>
    </w:p>
    <w:p w14:paraId="6957FAC8">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3.验收方式：</w:t>
      </w:r>
    </w:p>
    <w:p w14:paraId="3BB1A914">
      <w:pPr>
        <w:widowControl/>
        <w:shd w:val="clear" w:color="auto" w:fill="FFFFFF"/>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通过采购人组织的验收。</w:t>
      </w:r>
    </w:p>
    <w:p w14:paraId="1E90A605">
      <w:pPr>
        <w:pStyle w:val="9"/>
        <w:rPr>
          <w:color w:val="auto"/>
          <w:highlight w:val="none"/>
        </w:rPr>
      </w:pPr>
    </w:p>
    <w:p w14:paraId="11433B06">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584818CA">
      <w:pPr>
        <w:widowControl/>
        <w:shd w:val="clear" w:color="auto" w:fill="FFFFFF"/>
        <w:spacing w:line="500" w:lineRule="exact"/>
        <w:ind w:left="238" w:leftChars="85"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1.报价要求：</w:t>
      </w:r>
    </w:p>
    <w:p w14:paraId="0615EE33">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highlight w:val="none"/>
        </w:rPr>
        <w:t>我院</w:t>
      </w:r>
      <w:r>
        <w:rPr>
          <w:rFonts w:hint="eastAsia" w:ascii="宋体" w:hAnsi="宋体" w:cs="宋体"/>
          <w:color w:val="auto"/>
          <w:kern w:val="0"/>
          <w:sz w:val="24"/>
          <w:szCs w:val="24"/>
          <w:highlight w:val="none"/>
        </w:rPr>
        <w:t>不再补偿。</w:t>
      </w:r>
    </w:p>
    <w:p w14:paraId="5E98C8D9">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2.成交原则</w:t>
      </w:r>
    </w:p>
    <w:p w14:paraId="6EEDD6AA">
      <w:pPr>
        <w:widowControl/>
        <w:shd w:val="clear" w:color="auto" w:fill="FFFFFF"/>
        <w:spacing w:line="500" w:lineRule="exact"/>
        <w:ind w:firstLine="480" w:firstLineChars="200"/>
        <w:jc w:val="left"/>
        <w:rPr>
          <w:rFonts w:ascii="宋体" w:hAnsi="宋体" w:cs="宋体"/>
          <w:color w:val="auto"/>
          <w:highlight w:val="none"/>
        </w:rPr>
      </w:pPr>
      <w:r>
        <w:rPr>
          <w:rFonts w:hint="eastAsia" w:ascii="宋体" w:hAnsi="宋体" w:cs="宋体"/>
          <w:color w:val="auto"/>
          <w:sz w:val="24"/>
          <w:szCs w:val="24"/>
          <w:highlight w:val="none"/>
        </w:rPr>
        <w:t>在符合本次采购要求、质量和服务的前提下，按</w:t>
      </w:r>
      <w:r>
        <w:rPr>
          <w:rFonts w:hint="eastAsia" w:ascii="宋体" w:hAnsi="宋体" w:cs="宋体"/>
          <w:color w:val="auto"/>
          <w:sz w:val="24"/>
          <w:szCs w:val="24"/>
          <w:highlight w:val="none"/>
          <w:lang w:val="en-US" w:eastAsia="zh-CN"/>
        </w:rPr>
        <w:t>综合评分</w:t>
      </w:r>
      <w:r>
        <w:rPr>
          <w:rFonts w:hint="eastAsia" w:ascii="宋体" w:hAnsi="宋体" w:cs="宋体"/>
          <w:color w:val="auto"/>
          <w:sz w:val="24"/>
          <w:szCs w:val="24"/>
          <w:highlight w:val="none"/>
        </w:rPr>
        <w:t>确定成交供应商。</w:t>
      </w:r>
    </w:p>
    <w:p w14:paraId="66A69CE2">
      <w:pPr>
        <w:pStyle w:val="23"/>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3.评审标准</w:t>
      </w:r>
    </w:p>
    <w:tbl>
      <w:tblPr>
        <w:tblStyle w:val="13"/>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03"/>
        <w:gridCol w:w="717"/>
        <w:gridCol w:w="4739"/>
        <w:gridCol w:w="1887"/>
      </w:tblGrid>
      <w:tr w14:paraId="7648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2" w:type="dxa"/>
            <w:vAlign w:val="center"/>
          </w:tcPr>
          <w:p w14:paraId="46C8FBEB">
            <w:pPr>
              <w:keepNext w:val="0"/>
              <w:keepLines w:val="0"/>
              <w:pageBreakBefore w:val="0"/>
              <w:widowControl w:val="0"/>
              <w:kinsoku/>
              <w:wordWrap/>
              <w:overflowPunct/>
              <w:topLinePunct w:val="0"/>
              <w:autoSpaceDE/>
              <w:autoSpaceDN/>
              <w:bidi w:val="0"/>
              <w:adjustRightInd/>
              <w:snapToGrid w:val="0"/>
              <w:ind w:firstLine="28"/>
              <w:jc w:val="center"/>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903" w:type="dxa"/>
            <w:vAlign w:val="center"/>
          </w:tcPr>
          <w:p w14:paraId="0DB75E03">
            <w:pPr>
              <w:keepNext w:val="0"/>
              <w:keepLines w:val="0"/>
              <w:pageBreakBefore w:val="0"/>
              <w:widowControl w:val="0"/>
              <w:kinsoku/>
              <w:wordWrap/>
              <w:overflowPunct/>
              <w:topLinePunct w:val="0"/>
              <w:autoSpaceDE/>
              <w:autoSpaceDN/>
              <w:bidi w:val="0"/>
              <w:adjustRightInd/>
              <w:snapToGrid w:val="0"/>
              <w:ind w:firstLine="28"/>
              <w:jc w:val="center"/>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17" w:type="dxa"/>
            <w:vAlign w:val="center"/>
          </w:tcPr>
          <w:p w14:paraId="42BB7BB4">
            <w:pPr>
              <w:keepNext w:val="0"/>
              <w:keepLines w:val="0"/>
              <w:pageBreakBefore w:val="0"/>
              <w:widowControl w:val="0"/>
              <w:kinsoku/>
              <w:wordWrap/>
              <w:overflowPunct/>
              <w:topLinePunct w:val="0"/>
              <w:autoSpaceDE/>
              <w:autoSpaceDN/>
              <w:bidi w:val="0"/>
              <w:adjustRightInd/>
              <w:snapToGrid w:val="0"/>
              <w:ind w:firstLine="28"/>
              <w:jc w:val="center"/>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739" w:type="dxa"/>
            <w:vAlign w:val="center"/>
          </w:tcPr>
          <w:p w14:paraId="050DB0B9">
            <w:pPr>
              <w:keepNext w:val="0"/>
              <w:keepLines w:val="0"/>
              <w:pageBreakBefore w:val="0"/>
              <w:widowControl w:val="0"/>
              <w:kinsoku/>
              <w:wordWrap/>
              <w:overflowPunct/>
              <w:topLinePunct w:val="0"/>
              <w:autoSpaceDE/>
              <w:autoSpaceDN/>
              <w:bidi w:val="0"/>
              <w:adjustRightInd/>
              <w:snapToGrid w:val="0"/>
              <w:ind w:firstLine="28"/>
              <w:jc w:val="center"/>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87" w:type="dxa"/>
            <w:vAlign w:val="center"/>
          </w:tcPr>
          <w:p w14:paraId="33DF636C">
            <w:pPr>
              <w:keepNext w:val="0"/>
              <w:keepLines w:val="0"/>
              <w:pageBreakBefore w:val="0"/>
              <w:widowControl w:val="0"/>
              <w:kinsoku/>
              <w:wordWrap/>
              <w:overflowPunct/>
              <w:topLinePunct w:val="0"/>
              <w:autoSpaceDE/>
              <w:autoSpaceDN/>
              <w:bidi w:val="0"/>
              <w:adjustRightInd/>
              <w:snapToGrid w:val="0"/>
              <w:ind w:firstLine="28"/>
              <w:jc w:val="center"/>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569A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32" w:type="dxa"/>
            <w:vAlign w:val="center"/>
          </w:tcPr>
          <w:p w14:paraId="68B26E92">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903" w:type="dxa"/>
            <w:vAlign w:val="center"/>
          </w:tcPr>
          <w:p w14:paraId="74D739B0">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磋商报价（</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0%）</w:t>
            </w:r>
          </w:p>
        </w:tc>
        <w:tc>
          <w:tcPr>
            <w:tcW w:w="717" w:type="dxa"/>
            <w:vAlign w:val="center"/>
          </w:tcPr>
          <w:p w14:paraId="1C158FF2">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0分</w:t>
            </w:r>
          </w:p>
        </w:tc>
        <w:tc>
          <w:tcPr>
            <w:tcW w:w="4739" w:type="dxa"/>
            <w:vAlign w:val="center"/>
          </w:tcPr>
          <w:p w14:paraId="597F7C58">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满足资格性、符合性要求且最后报价最低的供应商的价格为磋商基准价，其价格分为满分。其他供应商的价格分统一按照下列公式计算每个供应商的报价得分。</w:t>
            </w:r>
          </w:p>
          <w:p w14:paraId="1CDFA000">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磋商报价得分=（磋商基准价/最后磋商报价）×价格权值×100</w:t>
            </w:r>
          </w:p>
        </w:tc>
        <w:tc>
          <w:tcPr>
            <w:tcW w:w="1887" w:type="dxa"/>
            <w:vAlign w:val="center"/>
          </w:tcPr>
          <w:p w14:paraId="63049135">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p>
        </w:tc>
      </w:tr>
      <w:tr w14:paraId="7292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Merge w:val="restart"/>
            <w:vAlign w:val="center"/>
          </w:tcPr>
          <w:p w14:paraId="4E6965B2">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903" w:type="dxa"/>
            <w:vMerge w:val="restart"/>
            <w:vAlign w:val="center"/>
          </w:tcPr>
          <w:p w14:paraId="7CE62F7A">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服务部分</w:t>
            </w:r>
          </w:p>
          <w:p w14:paraId="67DF84C9">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（60%）</w:t>
            </w:r>
          </w:p>
        </w:tc>
        <w:tc>
          <w:tcPr>
            <w:tcW w:w="717" w:type="dxa"/>
            <w:vMerge w:val="restart"/>
            <w:vAlign w:val="center"/>
          </w:tcPr>
          <w:p w14:paraId="7C494777">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服务方案（60分）</w:t>
            </w:r>
          </w:p>
        </w:tc>
        <w:tc>
          <w:tcPr>
            <w:tcW w:w="4739" w:type="dxa"/>
            <w:vAlign w:val="center"/>
          </w:tcPr>
          <w:p w14:paraId="128D0B1D">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1.对项目</w:t>
            </w:r>
            <w:r>
              <w:rPr>
                <w:rFonts w:hint="eastAsia" w:ascii="仿宋" w:hAnsi="仿宋" w:eastAsia="仿宋" w:cs="仿宋"/>
                <w:color w:val="auto"/>
                <w:sz w:val="18"/>
                <w:szCs w:val="18"/>
                <w:highlight w:val="none"/>
                <w:lang w:val="en-US" w:eastAsia="zh-CN"/>
              </w:rPr>
              <w:t>背景</w:t>
            </w:r>
            <w:r>
              <w:rPr>
                <w:rFonts w:hint="eastAsia" w:ascii="仿宋" w:hAnsi="仿宋" w:eastAsia="仿宋" w:cs="仿宋"/>
                <w:color w:val="auto"/>
                <w:sz w:val="18"/>
                <w:szCs w:val="18"/>
                <w:highlight w:val="none"/>
              </w:rPr>
              <w:t>的认识、</w:t>
            </w:r>
            <w:r>
              <w:rPr>
                <w:rFonts w:hint="eastAsia" w:ascii="仿宋" w:hAnsi="仿宋" w:eastAsia="仿宋" w:cs="仿宋"/>
                <w:color w:val="auto"/>
                <w:sz w:val="18"/>
                <w:szCs w:val="18"/>
                <w:highlight w:val="none"/>
                <w:lang w:val="en-US" w:eastAsia="zh-CN"/>
              </w:rPr>
              <w:t>服务内容的设计</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0分）</w:t>
            </w:r>
          </w:p>
          <w:p w14:paraId="16F17924">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内容</w:t>
            </w:r>
            <w:r>
              <w:rPr>
                <w:rFonts w:hint="eastAsia" w:ascii="仿宋" w:hAnsi="仿宋" w:eastAsia="仿宋" w:cs="仿宋"/>
                <w:color w:val="auto"/>
                <w:sz w:val="18"/>
                <w:szCs w:val="18"/>
                <w:highlight w:val="none"/>
                <w:lang w:val="en-US" w:eastAsia="zh-CN"/>
              </w:rPr>
              <w:t>包含但不限于</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val="en-US" w:eastAsia="zh-CN"/>
              </w:rPr>
              <w:t>对项目背景的认识，服务内容，工作要点，数据整理分析等。</w:t>
            </w:r>
          </w:p>
          <w:p w14:paraId="4927EB5E">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阐述内容包含上述所有内容，且对各项内容均进行描述的基础上，内容不存在瑕疵得30分，阐述内容存在1处瑕疵得24分，存在2处瑕疵得18分，存在3处瑕疵得12分，存在4处及以上瑕疵或未提供方案得6分，存在5处及以上瑕疵或未提供方案得0分。</w:t>
            </w:r>
          </w:p>
        </w:tc>
        <w:tc>
          <w:tcPr>
            <w:tcW w:w="1887" w:type="dxa"/>
            <w:vMerge w:val="restart"/>
            <w:vAlign w:val="center"/>
          </w:tcPr>
          <w:p w14:paraId="64B000DA">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1.根据投标人提供的方案进行评分。</w:t>
            </w:r>
          </w:p>
          <w:p w14:paraId="0230847B">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2.评分标准中所称的“瑕疵”指以下任意一种情形：</w:t>
            </w:r>
          </w:p>
          <w:p w14:paraId="14366778">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①内容表述不完整或仅有标题而无实质意义叙述；</w:t>
            </w:r>
          </w:p>
          <w:p w14:paraId="09764718">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②计划及措施不科学合理；</w:t>
            </w:r>
          </w:p>
          <w:p w14:paraId="26D8D5EB">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③内容表述前后矛盾、无连贯性、内容存在逻辑漏洞；</w:t>
            </w:r>
          </w:p>
          <w:p w14:paraId="2C76D922">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④常识性错误；</w:t>
            </w:r>
          </w:p>
          <w:p w14:paraId="3EC977D1">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⑤措施安排并不适用本项目特性；</w:t>
            </w:r>
          </w:p>
          <w:p w14:paraId="1B137C8B">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⑥方案中提出的措施举措不利于本项目目标的实现；</w:t>
            </w:r>
          </w:p>
          <w:p w14:paraId="14B6FC77">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⑦现有技术条件下不可能实现采购目标。</w:t>
            </w:r>
          </w:p>
        </w:tc>
      </w:tr>
      <w:tr w14:paraId="679E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2" w:type="dxa"/>
            <w:vMerge w:val="continue"/>
            <w:vAlign w:val="center"/>
          </w:tcPr>
          <w:p w14:paraId="0FF6642C">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p>
        </w:tc>
        <w:tc>
          <w:tcPr>
            <w:tcW w:w="903" w:type="dxa"/>
            <w:vMerge w:val="continue"/>
            <w:vAlign w:val="center"/>
          </w:tcPr>
          <w:p w14:paraId="63F8323B">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p>
        </w:tc>
        <w:tc>
          <w:tcPr>
            <w:tcW w:w="717" w:type="dxa"/>
            <w:vMerge w:val="continue"/>
            <w:vAlign w:val="center"/>
          </w:tcPr>
          <w:p w14:paraId="6D69575C">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p>
        </w:tc>
        <w:tc>
          <w:tcPr>
            <w:tcW w:w="4739" w:type="dxa"/>
            <w:vAlign w:val="center"/>
          </w:tcPr>
          <w:p w14:paraId="2042AA5F">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r>
              <w:rPr>
                <w:rFonts w:hint="eastAsia" w:ascii="仿宋" w:hAnsi="仿宋" w:eastAsia="仿宋" w:cs="仿宋"/>
                <w:color w:val="auto"/>
                <w:sz w:val="18"/>
                <w:szCs w:val="18"/>
                <w:highlight w:val="none"/>
                <w:lang w:val="en-US" w:eastAsia="zh-CN"/>
              </w:rPr>
              <w:t>服务方案</w:t>
            </w:r>
            <w:r>
              <w:rPr>
                <w:rFonts w:hint="eastAsia" w:ascii="仿宋" w:hAnsi="仿宋" w:eastAsia="仿宋" w:cs="仿宋"/>
                <w:color w:val="auto"/>
                <w:sz w:val="18"/>
                <w:szCs w:val="18"/>
                <w:highlight w:val="none"/>
              </w:rPr>
              <w:t>（30分）</w:t>
            </w:r>
          </w:p>
          <w:p w14:paraId="631D7837">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内容</w:t>
            </w:r>
            <w:r>
              <w:rPr>
                <w:rFonts w:hint="eastAsia" w:ascii="仿宋" w:hAnsi="仿宋" w:eastAsia="仿宋" w:cs="仿宋"/>
                <w:color w:val="auto"/>
                <w:sz w:val="18"/>
                <w:szCs w:val="18"/>
                <w:highlight w:val="none"/>
                <w:lang w:val="en-US" w:eastAsia="zh-CN"/>
              </w:rPr>
              <w:t>包含但不限于</w:t>
            </w:r>
            <w:r>
              <w:rPr>
                <w:rFonts w:hint="eastAsia" w:ascii="仿宋" w:hAnsi="仿宋" w:eastAsia="仿宋" w:cs="仿宋"/>
                <w:color w:val="auto"/>
                <w:sz w:val="18"/>
                <w:szCs w:val="18"/>
                <w:highlight w:val="none"/>
              </w:rPr>
              <w:t>：</w:t>
            </w:r>
            <w:r>
              <w:rPr>
                <w:rFonts w:hint="eastAsia" w:ascii="仿宋" w:hAnsi="仿宋" w:eastAsia="仿宋" w:cs="仿宋"/>
                <w:color w:val="auto"/>
                <w:sz w:val="18"/>
                <w:szCs w:val="18"/>
                <w:highlight w:val="none"/>
                <w:lang w:val="en-US" w:eastAsia="zh-CN"/>
              </w:rPr>
              <w:t>项目时间安排、具体工作步骤、工作团队人员保障、数据信息安全保障措施、应急预案、试运行配合措施等</w:t>
            </w:r>
            <w:r>
              <w:rPr>
                <w:rFonts w:hint="eastAsia" w:ascii="仿宋" w:hAnsi="仿宋" w:eastAsia="仿宋" w:cs="仿宋"/>
                <w:color w:val="auto"/>
                <w:sz w:val="18"/>
                <w:szCs w:val="18"/>
                <w:highlight w:val="none"/>
              </w:rPr>
              <w:t>。</w:t>
            </w:r>
          </w:p>
          <w:p w14:paraId="7FB1BAED">
            <w:pPr>
              <w:keepNext w:val="0"/>
              <w:keepLines w:val="0"/>
              <w:pageBreakBefore w:val="0"/>
              <w:widowControl w:val="0"/>
              <w:kinsoku/>
              <w:wordWrap/>
              <w:overflowPunct/>
              <w:topLinePunct w:val="0"/>
              <w:autoSpaceDE/>
              <w:autoSpaceDN/>
              <w:bidi w:val="0"/>
              <w:adjustRightInd/>
              <w:snapToGrid w:val="0"/>
              <w:ind w:firstLine="28"/>
              <w:textAlignment w:val="auto"/>
              <w:rPr>
                <w:rFonts w:hint="eastAsia"/>
                <w:color w:val="auto"/>
                <w:highlight w:val="none"/>
              </w:rPr>
            </w:pPr>
            <w:r>
              <w:rPr>
                <w:rFonts w:hint="eastAsia" w:ascii="仿宋" w:hAnsi="仿宋" w:eastAsia="仿宋" w:cs="仿宋"/>
                <w:color w:val="auto"/>
                <w:sz w:val="18"/>
                <w:szCs w:val="18"/>
                <w:highlight w:val="none"/>
              </w:rPr>
              <w:t>阐述内容包含上述所有内容，且对各项内容均进行描述的基础上，内容不存在瑕疵得30分，阐述内容存在1处瑕疵得24分，存在2处瑕疵得18分，存在3处瑕疵得12分，存在4处及以上瑕疵或未提供方案得6分，存在5处及以上瑕疵或未提供方案得0分。</w:t>
            </w:r>
          </w:p>
        </w:tc>
        <w:tc>
          <w:tcPr>
            <w:tcW w:w="1887" w:type="dxa"/>
            <w:vMerge w:val="continue"/>
            <w:vAlign w:val="center"/>
          </w:tcPr>
          <w:p w14:paraId="4877FBB2">
            <w:pPr>
              <w:keepNext w:val="0"/>
              <w:keepLines w:val="0"/>
              <w:pageBreakBefore w:val="0"/>
              <w:widowControl w:val="0"/>
              <w:kinsoku/>
              <w:wordWrap/>
              <w:overflowPunct/>
              <w:topLinePunct w:val="0"/>
              <w:autoSpaceDE/>
              <w:autoSpaceDN/>
              <w:bidi w:val="0"/>
              <w:adjustRightInd/>
              <w:snapToGrid w:val="0"/>
              <w:ind w:firstLine="28"/>
              <w:textAlignment w:val="auto"/>
              <w:rPr>
                <w:rFonts w:hint="eastAsia" w:ascii="仿宋" w:hAnsi="仿宋" w:eastAsia="仿宋" w:cs="仿宋"/>
                <w:color w:val="auto"/>
                <w:sz w:val="18"/>
                <w:szCs w:val="18"/>
                <w:highlight w:val="none"/>
              </w:rPr>
            </w:pPr>
          </w:p>
        </w:tc>
      </w:tr>
      <w:tr w14:paraId="4E10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532" w:type="dxa"/>
            <w:vAlign w:val="center"/>
          </w:tcPr>
          <w:p w14:paraId="0C2BCA91">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903" w:type="dxa"/>
            <w:vAlign w:val="center"/>
          </w:tcPr>
          <w:p w14:paraId="34FE695F">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业绩部分（</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0%）</w:t>
            </w:r>
          </w:p>
        </w:tc>
        <w:tc>
          <w:tcPr>
            <w:tcW w:w="717" w:type="dxa"/>
            <w:vAlign w:val="center"/>
          </w:tcPr>
          <w:p w14:paraId="282EBCC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业绩（</w:t>
            </w:r>
            <w:r>
              <w:rPr>
                <w:rFonts w:hint="eastAsia" w:ascii="仿宋" w:hAnsi="仿宋" w:eastAsia="仿宋" w:cs="仿宋"/>
                <w:color w:val="auto"/>
                <w:sz w:val="18"/>
                <w:szCs w:val="18"/>
                <w:highlight w:val="none"/>
                <w:lang w:val="en-US" w:eastAsia="zh-CN"/>
              </w:rPr>
              <w:t>10</w:t>
            </w:r>
            <w:r>
              <w:rPr>
                <w:rFonts w:hint="eastAsia" w:ascii="仿宋" w:hAnsi="仿宋" w:eastAsia="仿宋" w:cs="仿宋"/>
                <w:color w:val="auto"/>
                <w:sz w:val="18"/>
                <w:szCs w:val="18"/>
                <w:highlight w:val="none"/>
              </w:rPr>
              <w:t>分）</w:t>
            </w:r>
          </w:p>
        </w:tc>
        <w:tc>
          <w:tcPr>
            <w:tcW w:w="4739" w:type="dxa"/>
            <w:vAlign w:val="center"/>
          </w:tcPr>
          <w:p w14:paraId="603B0878">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供应商202</w:t>
            </w: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年以来具备类似项目业绩经验，每提供一个合同得5分，最高</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0分。</w:t>
            </w:r>
          </w:p>
        </w:tc>
        <w:tc>
          <w:tcPr>
            <w:tcW w:w="1887" w:type="dxa"/>
            <w:vAlign w:val="center"/>
          </w:tcPr>
          <w:p w14:paraId="02426CB3">
            <w:pPr>
              <w:keepNext w:val="0"/>
              <w:keepLines w:val="0"/>
              <w:pageBreakBefore w:val="0"/>
              <w:widowControl w:val="0"/>
              <w:numPr>
                <w:ilvl w:val="0"/>
                <w:numId w:val="1"/>
              </w:numPr>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提供合同复印件或中标通知书复印件并加盖公章。</w:t>
            </w:r>
          </w:p>
          <w:p w14:paraId="78D2C6F9">
            <w:pPr>
              <w:keepNext w:val="0"/>
              <w:keepLines w:val="0"/>
              <w:pageBreakBefore w:val="0"/>
              <w:widowControl w:val="0"/>
              <w:numPr>
                <w:ilvl w:val="0"/>
                <w:numId w:val="1"/>
              </w:numPr>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供应商为该项目开具发票的凭证复印件或该项目验收证明材料并加盖公章。</w:t>
            </w:r>
          </w:p>
          <w:p w14:paraId="66618BD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提供不完全者不得分。</w:t>
            </w:r>
          </w:p>
        </w:tc>
      </w:tr>
    </w:tbl>
    <w:p w14:paraId="7E9112DE">
      <w:pPr>
        <w:pStyle w:val="8"/>
        <w:spacing w:line="500" w:lineRule="exact"/>
        <w:ind w:firstLine="480" w:firstLineChars="200"/>
        <w:rPr>
          <w:rFonts w:ascii="宋体" w:hAnsi="宋体" w:cs="宋体"/>
          <w:color w:val="auto"/>
          <w:sz w:val="24"/>
          <w:szCs w:val="24"/>
          <w:highlight w:val="none"/>
        </w:rPr>
      </w:pPr>
    </w:p>
    <w:p w14:paraId="4C018BE3">
      <w:pPr>
        <w:pStyle w:val="8"/>
        <w:spacing w:line="5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30E243D9">
      <w:pPr>
        <w:pStyle w:val="8"/>
        <w:ind w:firstLineChars="225"/>
        <w:rPr>
          <w:rFonts w:ascii="宋体" w:hAnsi="宋体" w:cs="宋体"/>
          <w:color w:val="auto"/>
          <w:sz w:val="24"/>
          <w:szCs w:val="24"/>
          <w:highlight w:val="none"/>
        </w:rPr>
      </w:pPr>
      <w:r>
        <w:rPr>
          <w:rFonts w:hint="eastAsia" w:ascii="宋体" w:hAnsi="宋体" w:cs="宋体"/>
          <w:color w:val="auto"/>
          <w:sz w:val="24"/>
          <w:szCs w:val="24"/>
          <w:highlight w:val="none"/>
        </w:rPr>
        <w:t>1. 报价文件一式一份。</w:t>
      </w:r>
    </w:p>
    <w:p w14:paraId="4CCE6AFB">
      <w:pPr>
        <w:pStyle w:val="8"/>
        <w:ind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 在报价文件中规定签署、盖章的地方必须按其规定签署、盖章。否则视为无效报价。</w:t>
      </w:r>
    </w:p>
    <w:p w14:paraId="54EABD33">
      <w:pPr>
        <w:widowControl/>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1FF80C44">
      <w:pPr>
        <w:widowControl/>
        <w:spacing w:line="50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合同签订后10个工作日内，支付合同总额的30%作为预付款；提交工作计划并经采购人确认后10个工作日内，支付合同总额的50%；项目全部完成工作并经采购人验收合格后10个工作日内，支付合同总额的20%。</w:t>
      </w:r>
    </w:p>
    <w:p w14:paraId="41904D14">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成交供应商应在我院支付经费之前提供有效票据，且成交供应商严格按照我院要求和格式提交相关资料，否则我院有权拒绝支付相关费用。</w:t>
      </w:r>
    </w:p>
    <w:p w14:paraId="6CE9DACC">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r>
        <w:rPr>
          <w:rFonts w:hint="eastAsia" w:ascii="宋体" w:hAnsi="宋体" w:cs="宋体"/>
          <w:b/>
          <w:color w:val="auto"/>
          <w:kern w:val="0"/>
          <w:sz w:val="24"/>
          <w:szCs w:val="24"/>
          <w:highlight w:val="none"/>
        </w:rPr>
        <w:tab/>
      </w:r>
    </w:p>
    <w:p w14:paraId="4B669EAE">
      <w:pPr>
        <w:widowControl/>
        <w:spacing w:line="500" w:lineRule="exact"/>
        <w:ind w:firstLine="602" w:firstLineChars="250"/>
        <w:jc w:val="left"/>
        <w:rPr>
          <w:rFonts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rPr>
        <w:t>报价文件密封后（在密封袋上注明项目名称）</w:t>
      </w:r>
      <w:bookmarkStart w:id="19" w:name="_GoBack"/>
      <w:bookmarkEnd w:id="19"/>
      <w:r>
        <w:rPr>
          <w:rFonts w:hint="eastAsia" w:ascii="宋体" w:hAnsi="宋体" w:cs="宋体"/>
          <w:color w:val="auto"/>
          <w:sz w:val="24"/>
          <w:szCs w:val="24"/>
          <w:highlight w:val="none"/>
        </w:rPr>
        <w:t>请于202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日中午12：00时前以快递或当面送达的方式递交，凡超出上述时限送达的报价文件均拒绝接受并视为贵单位放弃参与本项目报价。报价统一采用本《询</w:t>
      </w:r>
      <w:r>
        <w:rPr>
          <w:rFonts w:hint="eastAsia" w:ascii="宋体" w:hAnsi="宋体" w:cs="宋体"/>
          <w:color w:val="auto"/>
          <w:sz w:val="24"/>
          <w:szCs w:val="24"/>
          <w:highlight w:val="none"/>
          <w:lang w:val="en-US" w:eastAsia="zh-CN"/>
        </w:rPr>
        <w:t>比</w:t>
      </w:r>
      <w:r>
        <w:rPr>
          <w:rFonts w:hint="eastAsia" w:ascii="宋体" w:hAnsi="宋体" w:cs="宋体"/>
          <w:color w:val="auto"/>
          <w:sz w:val="24"/>
          <w:szCs w:val="24"/>
          <w:highlight w:val="none"/>
        </w:rPr>
        <w:t>文件》附件报价函，否则视为无效报价。</w:t>
      </w:r>
    </w:p>
    <w:p w14:paraId="0DC7ED19">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参与本项目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的供应商不足3家的，则本项目重新开展</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7778FADD">
      <w:pPr>
        <w:widowControl/>
        <w:spacing w:line="500" w:lineRule="exact"/>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联系人：李老师</w:t>
      </w:r>
    </w:p>
    <w:p w14:paraId="793460EA">
      <w:pPr>
        <w:widowControl/>
        <w:spacing w:line="500" w:lineRule="exact"/>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联系电话：023-6352</w:t>
      </w:r>
      <w:r>
        <w:rPr>
          <w:rFonts w:hint="eastAsia" w:ascii="宋体" w:hAnsi="宋体" w:cs="宋体"/>
          <w:color w:val="auto"/>
          <w:sz w:val="24"/>
          <w:szCs w:val="24"/>
          <w:highlight w:val="none"/>
        </w:rPr>
        <w:t>3574</w:t>
      </w:r>
    </w:p>
    <w:p w14:paraId="036B73F5">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48FCAB9E">
      <w:pPr>
        <w:pStyle w:val="9"/>
        <w:rPr>
          <w:color w:val="auto"/>
          <w:highlight w:val="none"/>
        </w:rPr>
      </w:pPr>
    </w:p>
    <w:p w14:paraId="2273FE7E">
      <w:pPr>
        <w:pStyle w:val="3"/>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29BFDEA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供应商向我院递交报价文件视为接受</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文件上述条款，并承诺工作成果必须达到上述条款的要求。</w:t>
      </w:r>
    </w:p>
    <w:p w14:paraId="2DB6A9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供应商须自行承诺其提供的响应文件中所有证明材料真实有效，不存在弄虚作假情形。</w:t>
      </w:r>
    </w:p>
    <w:p w14:paraId="2325D54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1E7A09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7CF550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的供应商，请于公告发布之日起至报名截止时间之前，在重庆市文物考古研究院官网（www.cqkaogu.c</w:t>
      </w:r>
      <w:r>
        <w:rPr>
          <w:rFonts w:hint="eastAsia" w:ascii="宋体" w:hAnsi="宋体" w:cs="宋体"/>
          <w:color w:val="auto"/>
          <w:sz w:val="24"/>
          <w:szCs w:val="24"/>
          <w:highlight w:val="none"/>
          <w:lang w:val="en-US" w:eastAsia="zh-CN"/>
        </w:rPr>
        <w:t>n</w:t>
      </w:r>
      <w:r>
        <w:rPr>
          <w:rFonts w:hint="eastAsia" w:ascii="宋体" w:hAnsi="宋体" w:cs="宋体"/>
          <w:color w:val="auto"/>
          <w:sz w:val="24"/>
          <w:szCs w:val="24"/>
          <w:highlight w:val="none"/>
        </w:rPr>
        <w:t>）上下载查看本项目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文件以及变更公告等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前公布的所有项目资料，无论供应商下载查看与否，均视为已知晓所有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实质性要求内容。</w:t>
      </w:r>
    </w:p>
    <w:p w14:paraId="49A82AF9">
      <w:pPr>
        <w:spacing w:line="440" w:lineRule="exact"/>
        <w:ind w:firstLine="480" w:firstLineChars="200"/>
        <w:rPr>
          <w:rFonts w:ascii="宋体" w:hAnsi="宋体" w:cs="宋体"/>
          <w:color w:val="auto"/>
          <w:sz w:val="24"/>
          <w:szCs w:val="24"/>
          <w:highlight w:val="none"/>
        </w:rPr>
      </w:pPr>
      <w:r>
        <w:rPr>
          <w:rFonts w:hint="eastAsia" w:cs="宋体"/>
          <w:color w:val="auto"/>
          <w:sz w:val="24"/>
          <w:szCs w:val="24"/>
          <w:highlight w:val="none"/>
        </w:rPr>
        <w:t xml:space="preserve">6. </w:t>
      </w:r>
      <w:r>
        <w:rPr>
          <w:rFonts w:hint="eastAsia" w:ascii="宋体" w:hAnsi="宋体" w:cs="宋体"/>
          <w:color w:val="auto"/>
          <w:sz w:val="24"/>
          <w:szCs w:val="24"/>
          <w:highlight w:val="none"/>
        </w:rPr>
        <w:t>单位负责人为同一人或者存在直接控股、管理关系的不同供应商，不得同时参与此次</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330E177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 本项目不接受联合体参与评审。</w:t>
      </w:r>
    </w:p>
    <w:p w14:paraId="6345C04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 不允许分包、转包。</w:t>
      </w:r>
    </w:p>
    <w:p w14:paraId="7C55E4D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 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444E3FF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 其他未尽事宜由供需双方在采购合同中详细约定。</w:t>
      </w:r>
      <w:bookmarkStart w:id="0" w:name="_Toc29974"/>
      <w:bookmarkStart w:id="1" w:name="_Toc29396"/>
      <w:bookmarkStart w:id="2" w:name="_Toc12789072"/>
      <w:bookmarkStart w:id="3" w:name="_Toc4905"/>
      <w:bookmarkStart w:id="4" w:name="_Toc26462"/>
      <w:bookmarkStart w:id="5" w:name="_Toc22527"/>
      <w:bookmarkStart w:id="6" w:name="_Toc1282"/>
      <w:bookmarkStart w:id="7" w:name="_Toc16028"/>
      <w:bookmarkStart w:id="8" w:name="_Toc9383"/>
      <w:bookmarkStart w:id="9" w:name="_Toc31704"/>
      <w:bookmarkStart w:id="10" w:name="_Toc18883"/>
      <w:bookmarkStart w:id="11" w:name="_Toc22073"/>
      <w:bookmarkStart w:id="12" w:name="_Toc10403"/>
      <w:bookmarkStart w:id="13" w:name="_Toc7138"/>
      <w:bookmarkStart w:id="14" w:name="_Toc4385"/>
      <w:bookmarkStart w:id="15" w:name="_Toc22876"/>
      <w:bookmarkStart w:id="16" w:name="_Toc25180"/>
    </w:p>
    <w:p w14:paraId="5E3142AC">
      <w:pPr>
        <w:spacing w:line="440" w:lineRule="exact"/>
        <w:rPr>
          <w:rFonts w:ascii="宋体" w:hAnsi="宋体" w:cs="宋体"/>
          <w:color w:val="auto"/>
          <w:sz w:val="24"/>
          <w:szCs w:val="24"/>
          <w:highlight w:val="none"/>
        </w:rPr>
      </w:pPr>
    </w:p>
    <w:p w14:paraId="6C81DC26">
      <w:pP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084FAFB8">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第十一、响应文件格式要求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8FC34DB">
      <w:pPr>
        <w:pStyle w:val="3"/>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一、经济文件</w:t>
      </w:r>
    </w:p>
    <w:p w14:paraId="1134E7E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（一）报价表</w:t>
      </w:r>
    </w:p>
    <w:p w14:paraId="0B63AE13">
      <w:pPr>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二、服务文件</w:t>
      </w:r>
    </w:p>
    <w:p w14:paraId="3B54A8E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（一）服务方案</w:t>
      </w:r>
    </w:p>
    <w:p w14:paraId="03A35FAA">
      <w:pPr>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三、业绩</w:t>
      </w:r>
    </w:p>
    <w:p w14:paraId="4B042928">
      <w:pPr>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四、资格文件</w:t>
      </w:r>
    </w:p>
    <w:p w14:paraId="387FFBFB">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14:paraId="538498AC">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53BAC72">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78C6A4EB">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0D0AD492">
      <w:pPr>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E596475">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6653ABA6">
      <w:pPr>
        <w:tabs>
          <w:tab w:val="left" w:pos="6300"/>
        </w:tabs>
        <w:spacing w:line="500" w:lineRule="exact"/>
        <w:jc w:val="left"/>
        <w:rPr>
          <w:color w:val="auto"/>
          <w:highlight w:val="none"/>
        </w:rPr>
      </w:pPr>
    </w:p>
    <w:p w14:paraId="0AA8B171">
      <w:pPr>
        <w:pStyle w:val="6"/>
        <w:rPr>
          <w:color w:val="auto"/>
          <w:highlight w:val="none"/>
        </w:rPr>
      </w:pPr>
    </w:p>
    <w:p w14:paraId="5628BA73">
      <w:pPr>
        <w:rPr>
          <w:color w:val="auto"/>
          <w:highlight w:val="none"/>
        </w:rPr>
      </w:pPr>
    </w:p>
    <w:p w14:paraId="0963A2C8">
      <w:pPr>
        <w:pStyle w:val="6"/>
        <w:rPr>
          <w:color w:val="auto"/>
          <w:highlight w:val="none"/>
        </w:rPr>
      </w:pPr>
    </w:p>
    <w:p w14:paraId="4067B352">
      <w:pPr>
        <w:rPr>
          <w:rFonts w:hint="eastAsia"/>
          <w:color w:val="auto"/>
          <w:highlight w:val="none"/>
        </w:rPr>
      </w:pPr>
      <w:r>
        <w:rPr>
          <w:rFonts w:hint="eastAsia"/>
          <w:color w:val="auto"/>
          <w:highlight w:val="none"/>
        </w:rPr>
        <w:br w:type="page"/>
      </w:r>
    </w:p>
    <w:p w14:paraId="0FE840D4">
      <w:pPr>
        <w:spacing w:line="500" w:lineRule="exact"/>
        <w:ind w:firstLine="560" w:firstLineChars="200"/>
        <w:rPr>
          <w:color w:val="auto"/>
          <w:highlight w:val="none"/>
        </w:rPr>
      </w:pPr>
      <w:r>
        <w:rPr>
          <w:rFonts w:hint="eastAsia"/>
          <w:color w:val="auto"/>
          <w:highlight w:val="none"/>
        </w:rPr>
        <w:t>一、经济文件</w:t>
      </w:r>
    </w:p>
    <w:p w14:paraId="2A7FB68C">
      <w:pPr>
        <w:tabs>
          <w:tab w:val="left" w:pos="6300"/>
        </w:tabs>
        <w:snapToGrid w:val="0"/>
        <w:spacing w:line="500" w:lineRule="exact"/>
        <w:ind w:firstLine="723" w:firstLineChars="200"/>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报价表</w:t>
      </w:r>
    </w:p>
    <w:p w14:paraId="46629670">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重庆市文物考古研究院（重庆文化遗产保护中心）</w:t>
      </w:r>
      <w:r>
        <w:rPr>
          <w:rFonts w:hint="eastAsia" w:ascii="宋体" w:hAnsi="宋体" w:cs="宋体"/>
          <w:color w:val="auto"/>
          <w:sz w:val="24"/>
          <w:szCs w:val="24"/>
          <w:highlight w:val="none"/>
        </w:rPr>
        <w:t>：</w:t>
      </w:r>
    </w:p>
    <w:p w14:paraId="74AA30C7">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我方收到（询比项目名称）的询比文件，经详细研究，决定参加该询比项目的报价。</w:t>
      </w:r>
    </w:p>
    <w:p w14:paraId="494F0587">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1.我方愿意按照询比文件中的一切要求，提供本项目的服务，最终报价为人民币：</w:t>
      </w:r>
      <w:r>
        <w:rPr>
          <w:rFonts w:hint="eastAsia" w:ascii="宋体" w:hAnsi="宋体" w:cs="宋体"/>
          <w:color w:val="auto"/>
          <w:sz w:val="24"/>
          <w:szCs w:val="24"/>
          <w:highlight w:val="none"/>
          <w:u w:val="single"/>
        </w:rPr>
        <w:t>元  ，大写：  整</w:t>
      </w:r>
      <w:r>
        <w:rPr>
          <w:rFonts w:hint="eastAsia" w:ascii="宋体" w:hAnsi="宋体" w:cs="宋体"/>
          <w:color w:val="auto"/>
          <w:sz w:val="24"/>
          <w:szCs w:val="24"/>
          <w:highlight w:val="none"/>
        </w:rPr>
        <w:t>。</w:t>
      </w:r>
    </w:p>
    <w:p w14:paraId="34810202">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2.我方完全理解并接受该项目询比文件所有要求。</w:t>
      </w:r>
    </w:p>
    <w:p w14:paraId="093A279B">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3.我方提交的所有文件、资料都是准确和真实的，如有虚假或隐瞒，我方愿意承担一切法律责任。</w:t>
      </w:r>
    </w:p>
    <w:p w14:paraId="01A0C4EB">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4.我方承诺按照询比文件要求，提供招标项目的服务。</w:t>
      </w:r>
    </w:p>
    <w:p w14:paraId="1161A661">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5.我方按询比文件要求提交的响应文件为：正本1份。</w:t>
      </w:r>
    </w:p>
    <w:p w14:paraId="6D61A860">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5.我方报价为闭口价。即在有效期和合同有效期内，该报价固定不变。</w:t>
      </w:r>
    </w:p>
    <w:p w14:paraId="4A81B2F2">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7.如果我方成交，我方将履行询比文件中规定的各项要求以及我方文件的各项承诺，《中华人民共和国政府采购法》、《中华人民共和国民法典》及合同约定条款承担我方责任。</w:t>
      </w:r>
    </w:p>
    <w:p w14:paraId="2A08E4AC">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8.我方理解，最低报价不是成交的唯一条件。</w:t>
      </w:r>
    </w:p>
    <w:p w14:paraId="0E8BFE62">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9.我方同意按有关规定及询比文件要求。</w:t>
      </w:r>
    </w:p>
    <w:p w14:paraId="3E418DFD">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52ED8D37">
      <w:pPr>
        <w:pStyle w:val="11"/>
        <w:snapToGrid w:val="0"/>
        <w:spacing w:line="500" w:lineRule="exact"/>
        <w:ind w:firstLine="480" w:firstLineChars="200"/>
        <w:rPr>
          <w:rFonts w:eastAsia="宋体"/>
          <w:color w:val="auto"/>
          <w:highlight w:val="none"/>
        </w:rPr>
      </w:pPr>
      <w:r>
        <w:rPr>
          <w:rFonts w:hint="eastAsia" w:eastAsia="宋体" w:cs="宋体"/>
          <w:color w:val="auto"/>
          <w:szCs w:val="24"/>
          <w:highlight w:val="none"/>
        </w:rPr>
        <w:t>法定代表人（签字）：</w:t>
      </w:r>
    </w:p>
    <w:p w14:paraId="43C8EC54">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094E2E3">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1944E78">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0104A908">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332AF738">
      <w:pPr>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A82F7F9">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57A72F6">
      <w:pPr>
        <w:jc w:val="center"/>
        <w:rPr>
          <w:rFonts w:ascii="宋体" w:hAnsi="宋体" w:cs="宋体"/>
          <w:b/>
          <w:color w:val="auto"/>
          <w:szCs w:val="28"/>
          <w:highlight w:val="none"/>
        </w:rPr>
      </w:pPr>
      <w:r>
        <w:rPr>
          <w:rFonts w:hint="eastAsia" w:ascii="宋体" w:hAnsi="宋体" w:cs="宋体"/>
          <w:b/>
          <w:color w:val="auto"/>
          <w:szCs w:val="28"/>
          <w:highlight w:val="none"/>
        </w:rPr>
        <w:t>明细</w:t>
      </w:r>
      <w:r>
        <w:rPr>
          <w:rFonts w:ascii="宋体" w:hAnsi="宋体" w:cs="宋体"/>
          <w:b/>
          <w:color w:val="auto"/>
          <w:szCs w:val="28"/>
          <w:highlight w:val="none"/>
        </w:rPr>
        <w:t>报价表</w:t>
      </w:r>
    </w:p>
    <w:p w14:paraId="65EA0280">
      <w:pPr>
        <w:pStyle w:val="9"/>
        <w:jc w:val="right"/>
        <w:rPr>
          <w:rFonts w:hint="eastAsia" w:ascii="宋体" w:hAnsi="宋体" w:cs="宋体"/>
          <w:color w:val="auto"/>
          <w:sz w:val="32"/>
          <w:szCs w:val="32"/>
          <w:highlight w:val="none"/>
        </w:rPr>
      </w:pPr>
      <w:r>
        <w:rPr>
          <w:rFonts w:hint="eastAsia" w:ascii="方正仿宋_GBK" w:hAnsi="方正仿宋_GBK" w:eastAsia="方正仿宋_GBK" w:cs="方正仿宋_GBK"/>
          <w:color w:val="auto"/>
          <w:sz w:val="21"/>
          <w:szCs w:val="36"/>
          <w:highlight w:val="none"/>
        </w:rPr>
        <w:t>单位：元</w:t>
      </w:r>
    </w:p>
    <w:tbl>
      <w:tblPr>
        <w:tblStyle w:val="13"/>
        <w:tblW w:w="9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839"/>
        <w:gridCol w:w="810"/>
        <w:gridCol w:w="1309"/>
        <w:gridCol w:w="4387"/>
        <w:gridCol w:w="1592"/>
      </w:tblGrid>
      <w:tr w14:paraId="1261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051">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名称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B085">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一级菜单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37D8">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二级菜单</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B128">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功能名称</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B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功能简述</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E0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r>
              <w:rPr>
                <w:rFonts w:hint="eastAsia" w:ascii="微软雅黑" w:hAnsi="微软雅黑" w:eastAsia="微软雅黑" w:cs="微软雅黑"/>
                <w:b/>
                <w:bCs/>
                <w:i w:val="0"/>
                <w:iCs w:val="0"/>
                <w:color w:val="auto"/>
                <w:kern w:val="0"/>
                <w:sz w:val="22"/>
                <w:szCs w:val="22"/>
                <w:highlight w:val="none"/>
                <w:u w:val="none"/>
                <w:lang w:val="en-US" w:eastAsia="zh-CN" w:bidi="ar"/>
              </w:rPr>
              <w:t>功能点报价（元）</w:t>
            </w:r>
          </w:p>
        </w:tc>
      </w:tr>
      <w:tr w14:paraId="67E9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839" w:type="dxa"/>
            <w:vMerge w:val="restart"/>
            <w:tcBorders>
              <w:top w:val="single" w:color="000000" w:sz="4" w:space="0"/>
              <w:left w:val="single" w:color="000000" w:sz="4" w:space="0"/>
              <w:right w:val="single" w:color="000000" w:sz="4" w:space="0"/>
            </w:tcBorders>
            <w:shd w:val="clear" w:color="auto" w:fill="auto"/>
            <w:vAlign w:val="center"/>
          </w:tcPr>
          <w:p w14:paraId="64D8342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auto"/>
                <w:kern w:val="0"/>
                <w:sz w:val="22"/>
                <w:szCs w:val="22"/>
                <w:highlight w:val="none"/>
                <w:u w:val="none"/>
                <w:lang w:val="en-US" w:eastAsia="zh-CN" w:bidi="ar"/>
              </w:rPr>
              <w:t>重庆市文物考古研究院“十四五”基本建设考古项目数据集成</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1EBBE">
            <w:pPr>
              <w:keepNext w:val="0"/>
              <w:keepLines w:val="0"/>
              <w:widowControl/>
              <w:suppressLineNumbers w:val="0"/>
              <w:jc w:val="center"/>
              <w:textAlignment w:val="center"/>
              <w:rPr>
                <w:rFonts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平台基础</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3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基础功能</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0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底图接入</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98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根据行政区范围进行底图定位，可基于本地数据对行政区范围内的数据进行展示。</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FF9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112D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39" w:type="dxa"/>
            <w:vMerge w:val="continue"/>
            <w:tcBorders>
              <w:left w:val="single" w:color="000000" w:sz="4" w:space="0"/>
              <w:right w:val="single" w:color="000000" w:sz="4" w:space="0"/>
            </w:tcBorders>
            <w:shd w:val="clear" w:color="auto" w:fill="auto"/>
            <w:vAlign w:val="center"/>
          </w:tcPr>
          <w:p w14:paraId="731D930C">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1037">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9BE">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29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通用查询</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0C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可通过鼠标交互进行数据的区域分布拾取信息，支持查询关联的数据信息或资料。</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93D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1466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39" w:type="dxa"/>
            <w:vMerge w:val="continue"/>
            <w:tcBorders>
              <w:left w:val="single" w:color="000000" w:sz="4" w:space="0"/>
              <w:right w:val="single" w:color="000000" w:sz="4" w:space="0"/>
            </w:tcBorders>
            <w:shd w:val="clear" w:color="auto" w:fill="auto"/>
            <w:vAlign w:val="center"/>
          </w:tcPr>
          <w:p w14:paraId="6EAEB9A1">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0FD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数据集成</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5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模块展示</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3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核心指标</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9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通过需求对接、数据整理归纳，形成“十四五”基本建设考古项目集成的核心指标，基于指标设计大屏板块样式，展示大屏核心数据。</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64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1F98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39" w:type="dxa"/>
            <w:vMerge w:val="continue"/>
            <w:tcBorders>
              <w:left w:val="single" w:color="000000" w:sz="4" w:space="0"/>
              <w:right w:val="single" w:color="000000" w:sz="4" w:space="0"/>
            </w:tcBorders>
            <w:shd w:val="clear" w:color="auto" w:fill="auto"/>
            <w:vAlign w:val="center"/>
          </w:tcPr>
          <w:p w14:paraId="010C07C6">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B02D">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486A">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1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立项管理</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C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通过需求对接与数据整理，形成以“行业、类别全覆盖”和“规模、进展全流程”展示为核心的立项股管理指标。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32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6C21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39" w:type="dxa"/>
            <w:vMerge w:val="continue"/>
            <w:tcBorders>
              <w:left w:val="single" w:color="000000" w:sz="4" w:space="0"/>
              <w:right w:val="single" w:color="000000" w:sz="4" w:space="0"/>
            </w:tcBorders>
            <w:shd w:val="clear" w:color="auto" w:fill="auto"/>
            <w:vAlign w:val="center"/>
          </w:tcPr>
          <w:p w14:paraId="2E49A88A">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442F">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DE1">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26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区域分布</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E1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通过整合项目地理信息和行政区划数据，形成“考古项目区域分布”核心指标。基于GIS地图组件鼠标交互设计大屏。</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5C0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0C54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39" w:type="dxa"/>
            <w:vMerge w:val="continue"/>
            <w:tcBorders>
              <w:left w:val="single" w:color="000000" w:sz="4" w:space="0"/>
              <w:right w:val="single" w:color="000000" w:sz="4" w:space="0"/>
            </w:tcBorders>
            <w:shd w:val="clear" w:color="auto" w:fill="auto"/>
            <w:vAlign w:val="center"/>
          </w:tcPr>
          <w:p w14:paraId="79D0C40D">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93AD">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B236">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C7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十四五调查勘探详情</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78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通过对接田野考古工作数据，形成“勘探面积”、“勘探里程”和“发掘面积”核心指标。以年度发展趋势的形式展示十四五调查勘探的工作进程。</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B87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4A35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839" w:type="dxa"/>
            <w:vMerge w:val="continue"/>
            <w:tcBorders>
              <w:left w:val="single" w:color="000000" w:sz="4" w:space="0"/>
              <w:right w:val="single" w:color="000000" w:sz="4" w:space="0"/>
            </w:tcBorders>
            <w:shd w:val="clear" w:color="auto" w:fill="auto"/>
            <w:vAlign w:val="center"/>
          </w:tcPr>
          <w:p w14:paraId="11FB3362">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3A53">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F117">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E9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核心成果</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30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通过归纳整理考古成果数据，形成：“文物线索”、“文物点”等核心指标。展示十四五基本建设考古工作的核心成果。</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4E3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422D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9" w:type="dxa"/>
            <w:vMerge w:val="continue"/>
            <w:tcBorders>
              <w:left w:val="single" w:color="000000" w:sz="4" w:space="0"/>
              <w:right w:val="single" w:color="000000" w:sz="4" w:space="0"/>
            </w:tcBorders>
            <w:shd w:val="clear" w:color="auto" w:fill="auto"/>
            <w:vAlign w:val="center"/>
          </w:tcPr>
          <w:p w14:paraId="41B87A2B">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F168">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5F4E">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E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项目合作</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0B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通过梳理项目参与方信息，形成“合作单位”与“项目主导占比”核心指标。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1B2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7201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39" w:type="dxa"/>
            <w:vMerge w:val="continue"/>
            <w:tcBorders>
              <w:left w:val="single" w:color="000000" w:sz="4" w:space="0"/>
              <w:right w:val="single" w:color="000000" w:sz="4" w:space="0"/>
            </w:tcBorders>
            <w:shd w:val="clear" w:color="auto" w:fill="auto"/>
            <w:vAlign w:val="center"/>
          </w:tcPr>
          <w:p w14:paraId="29F16D8B">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65AF">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A175">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C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项目趋势</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6F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通过分析历史与当期项目数据，形成“项目数量”与“项目经费”核心指标。大屏采用图表组合布局。</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25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7D73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39" w:type="dxa"/>
            <w:vMerge w:val="continue"/>
            <w:tcBorders>
              <w:left w:val="single" w:color="000000" w:sz="4" w:space="0"/>
              <w:bottom w:val="single" w:color="000000" w:sz="4" w:space="0"/>
              <w:right w:val="single" w:color="000000" w:sz="4" w:space="0"/>
            </w:tcBorders>
            <w:shd w:val="clear" w:color="auto" w:fill="auto"/>
            <w:vAlign w:val="center"/>
          </w:tcPr>
          <w:p w14:paraId="740C5F7F">
            <w:pPr>
              <w:jc w:val="center"/>
              <w:rPr>
                <w:rFonts w:hint="eastAsia" w:ascii="微软雅黑" w:hAnsi="微软雅黑" w:eastAsia="微软雅黑" w:cs="微软雅黑"/>
                <w:i w:val="0"/>
                <w:iCs w:val="0"/>
                <w:color w:val="auto"/>
                <w:sz w:val="22"/>
                <w:szCs w:val="22"/>
                <w:highlight w:val="none"/>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8EDA">
            <w:pPr>
              <w:jc w:val="center"/>
              <w:rPr>
                <w:rFonts w:hint="eastAsia" w:ascii="微软雅黑" w:hAnsi="微软雅黑" w:eastAsia="微软雅黑" w:cs="微软雅黑"/>
                <w:i w:val="0"/>
                <w:iCs w:val="0"/>
                <w:color w:val="auto"/>
                <w:sz w:val="22"/>
                <w:szCs w:val="22"/>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03F0">
            <w:pPr>
              <w:jc w:val="center"/>
              <w:rPr>
                <w:rFonts w:hint="eastAsia" w:ascii="宋体" w:hAnsi="宋体" w:eastAsia="宋体" w:cs="宋体"/>
                <w:i w:val="0"/>
                <w:iCs w:val="0"/>
                <w:color w:val="auto"/>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5C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重点项目清单</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0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通过筛选与聚焦关键项目，采用动态滚动清晰展示项目基本信息。</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00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p>
        </w:tc>
      </w:tr>
      <w:tr w14:paraId="1389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1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74FA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B4A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p>
        </w:tc>
      </w:tr>
    </w:tbl>
    <w:p w14:paraId="7BF75AAF">
      <w:pPr>
        <w:snapToGrid w:val="0"/>
        <w:spacing w:line="500" w:lineRule="exact"/>
        <w:ind w:firstLine="480" w:firstLineChars="200"/>
        <w:rPr>
          <w:rFonts w:hint="eastAsia" w:ascii="宋体" w:hAnsi="宋体" w:cs="宋体"/>
          <w:color w:val="auto"/>
          <w:sz w:val="24"/>
          <w:szCs w:val="24"/>
          <w:highlight w:val="none"/>
        </w:rPr>
      </w:pPr>
    </w:p>
    <w:p w14:paraId="1D3DBD2D">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28DBA3E">
      <w:pPr>
        <w:numPr>
          <w:ilvl w:val="0"/>
          <w:numId w:val="2"/>
        </w:num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t>服务文件</w:t>
      </w:r>
    </w:p>
    <w:p w14:paraId="33420FF2">
      <w:p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t>（一）服务方案</w:t>
      </w:r>
    </w:p>
    <w:p w14:paraId="402B5455">
      <w:p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br w:type="page"/>
      </w:r>
    </w:p>
    <w:p w14:paraId="0C1BD4B9">
      <w:pPr>
        <w:numPr>
          <w:ilvl w:val="0"/>
          <w:numId w:val="2"/>
        </w:num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t>业绩</w:t>
      </w:r>
    </w:p>
    <w:p w14:paraId="3BD13F74">
      <w:pPr>
        <w:rPr>
          <w:rFonts w:ascii="宋体" w:hAnsi="宋体" w:cs="宋体"/>
          <w:color w:val="auto"/>
          <w:highlight w:val="none"/>
        </w:rPr>
      </w:pPr>
      <w:r>
        <w:rPr>
          <w:rFonts w:hint="eastAsia" w:ascii="宋体" w:hAnsi="宋体" w:cs="宋体"/>
          <w:color w:val="auto"/>
          <w:highlight w:val="none"/>
        </w:rPr>
        <w:br w:type="page"/>
      </w:r>
    </w:p>
    <w:p w14:paraId="08254F88">
      <w:pPr>
        <w:numPr>
          <w:ilvl w:val="0"/>
          <w:numId w:val="2"/>
        </w:num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t>资格文件</w:t>
      </w:r>
    </w:p>
    <w:p w14:paraId="30DC8ED5">
      <w:pPr>
        <w:tabs>
          <w:tab w:val="left" w:pos="630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14:paraId="739AEA84">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7519CCAD">
      <w:pPr>
        <w:numPr>
          <w:ilvl w:val="0"/>
          <w:numId w:val="3"/>
        </w:num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法定代表人身份证明书（格式）</w:t>
      </w:r>
    </w:p>
    <w:p w14:paraId="7BE30376">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B16B340">
      <w:pPr>
        <w:tabs>
          <w:tab w:val="left" w:pos="6300"/>
        </w:tabs>
        <w:adjustRightInd w:val="0"/>
        <w:snapToGrid w:val="0"/>
        <w:spacing w:line="500" w:lineRule="exact"/>
        <w:rPr>
          <w:rFonts w:ascii="宋体" w:hAnsi="宋体" w:cs="宋体"/>
          <w:color w:val="auto"/>
          <w:sz w:val="24"/>
          <w:highlight w:val="none"/>
        </w:rPr>
      </w:pPr>
    </w:p>
    <w:p w14:paraId="1EA113EA">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重庆市文物考古研究院（重庆文化遗产保护中心） </w:t>
      </w:r>
      <w:r>
        <w:rPr>
          <w:rFonts w:hint="eastAsia" w:ascii="宋体" w:hAnsi="宋体" w:cs="宋体"/>
          <w:color w:val="auto"/>
          <w:sz w:val="24"/>
          <w:highlight w:val="none"/>
        </w:rPr>
        <w:t>：</w:t>
      </w:r>
    </w:p>
    <w:p w14:paraId="5BBE824B">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21DE9C3C">
      <w:pPr>
        <w:tabs>
          <w:tab w:val="left" w:pos="6300"/>
        </w:tabs>
        <w:adjustRightInd w:val="0"/>
        <w:snapToGrid w:val="0"/>
        <w:spacing w:line="500" w:lineRule="exact"/>
        <w:rPr>
          <w:rFonts w:ascii="宋体" w:hAnsi="宋体" w:cs="宋体"/>
          <w:color w:val="auto"/>
          <w:sz w:val="24"/>
          <w:highlight w:val="none"/>
        </w:rPr>
      </w:pPr>
    </w:p>
    <w:p w14:paraId="15630EAF">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593480E6">
      <w:pPr>
        <w:tabs>
          <w:tab w:val="left" w:pos="6300"/>
        </w:tabs>
        <w:adjustRightInd w:val="0"/>
        <w:snapToGrid w:val="0"/>
        <w:spacing w:line="500" w:lineRule="exact"/>
        <w:rPr>
          <w:rFonts w:ascii="宋体" w:hAnsi="宋体" w:cs="宋体"/>
          <w:color w:val="auto"/>
          <w:sz w:val="24"/>
          <w:highlight w:val="none"/>
        </w:rPr>
      </w:pPr>
    </w:p>
    <w:p w14:paraId="0389EC65">
      <w:pPr>
        <w:tabs>
          <w:tab w:val="left" w:pos="6300"/>
        </w:tabs>
        <w:adjustRightInd w:val="0"/>
        <w:snapToGrid w:val="0"/>
        <w:spacing w:line="500" w:lineRule="exact"/>
        <w:rPr>
          <w:rFonts w:ascii="宋体" w:hAnsi="宋体" w:cs="宋体"/>
          <w:color w:val="auto"/>
          <w:sz w:val="24"/>
          <w:highlight w:val="none"/>
        </w:rPr>
      </w:pPr>
    </w:p>
    <w:p w14:paraId="0FE6A8D6">
      <w:pPr>
        <w:tabs>
          <w:tab w:val="left" w:pos="6300"/>
        </w:tabs>
        <w:adjustRightInd w:val="0"/>
        <w:snapToGrid w:val="0"/>
        <w:spacing w:line="500" w:lineRule="exact"/>
        <w:rPr>
          <w:rFonts w:ascii="宋体" w:hAnsi="宋体" w:cs="宋体"/>
          <w:color w:val="auto"/>
          <w:sz w:val="24"/>
          <w:highlight w:val="none"/>
        </w:rPr>
      </w:pPr>
    </w:p>
    <w:p w14:paraId="5EEE756F">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21299EB7">
      <w:pPr>
        <w:tabs>
          <w:tab w:val="left" w:pos="6300"/>
        </w:tabs>
        <w:adjustRightInd w:val="0"/>
        <w:snapToGrid w:val="0"/>
        <w:spacing w:line="500" w:lineRule="exact"/>
        <w:rPr>
          <w:rFonts w:ascii="宋体" w:hAnsi="宋体" w:cs="宋体"/>
          <w:color w:val="auto"/>
          <w:sz w:val="24"/>
          <w:highlight w:val="none"/>
        </w:rPr>
      </w:pPr>
    </w:p>
    <w:p w14:paraId="14D64CCE">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0A49AAE1">
      <w:pPr>
        <w:tabs>
          <w:tab w:val="left" w:pos="6300"/>
        </w:tabs>
        <w:adjustRightInd w:val="0"/>
        <w:snapToGrid w:val="0"/>
        <w:spacing w:line="500" w:lineRule="exact"/>
        <w:rPr>
          <w:rFonts w:ascii="宋体" w:hAnsi="宋体" w:cs="宋体"/>
          <w:color w:val="auto"/>
          <w:sz w:val="24"/>
          <w:highlight w:val="none"/>
        </w:rPr>
      </w:pPr>
    </w:p>
    <w:p w14:paraId="70E2F8B1">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4EE41A31">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E4189C3">
      <w:pPr>
        <w:tabs>
          <w:tab w:val="left" w:pos="6300"/>
        </w:tabs>
        <w:adjustRightInd w:val="0"/>
        <w:snapToGrid w:val="0"/>
        <w:spacing w:line="500" w:lineRule="exact"/>
        <w:rPr>
          <w:rFonts w:ascii="宋体" w:hAnsi="宋体" w:cs="宋体"/>
          <w:color w:val="auto"/>
          <w:sz w:val="24"/>
          <w:highlight w:val="none"/>
        </w:rPr>
      </w:pPr>
    </w:p>
    <w:p w14:paraId="676D64C2">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3B87615">
      <w:pPr>
        <w:numPr>
          <w:ilvl w:val="0"/>
          <w:numId w:val="3"/>
        </w:numPr>
        <w:tabs>
          <w:tab w:val="left" w:pos="630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法定代表人授权委托书（格式）</w:t>
      </w:r>
    </w:p>
    <w:p w14:paraId="775A62EC">
      <w:pPr>
        <w:tabs>
          <w:tab w:val="left" w:pos="6300"/>
        </w:tabs>
        <w:adjustRightInd w:val="0"/>
        <w:snapToGrid w:val="0"/>
        <w:spacing w:line="500" w:lineRule="exact"/>
        <w:rPr>
          <w:rFonts w:ascii="宋体" w:hAnsi="宋体" w:cs="宋体"/>
          <w:color w:val="auto"/>
          <w:sz w:val="24"/>
          <w:szCs w:val="28"/>
          <w:highlight w:val="none"/>
        </w:rPr>
      </w:pPr>
    </w:p>
    <w:p w14:paraId="3D98A6EA">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878E142">
      <w:pPr>
        <w:tabs>
          <w:tab w:val="left" w:pos="6300"/>
        </w:tabs>
        <w:adjustRightInd w:val="0"/>
        <w:snapToGrid w:val="0"/>
        <w:spacing w:line="500" w:lineRule="exact"/>
        <w:rPr>
          <w:rFonts w:ascii="宋体" w:hAnsi="宋体" w:cs="宋体"/>
          <w:color w:val="auto"/>
          <w:sz w:val="24"/>
          <w:highlight w:val="none"/>
        </w:rPr>
      </w:pPr>
    </w:p>
    <w:p w14:paraId="35677123">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重庆市文物考古研究院（重庆文化遗产保护中心）</w:t>
      </w:r>
      <w:r>
        <w:rPr>
          <w:rFonts w:hint="eastAsia" w:ascii="宋体" w:hAnsi="宋体" w:cs="宋体"/>
          <w:color w:val="auto"/>
          <w:sz w:val="24"/>
          <w:highlight w:val="none"/>
        </w:rPr>
        <w:t>：</w:t>
      </w:r>
    </w:p>
    <w:p w14:paraId="74FBC398">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（被授权人姓名及身份证代码）代表我单位全权办理上述项目的响应、谈判、签约等具体工作，并签署全部有关文件、协议及合同。</w:t>
      </w:r>
    </w:p>
    <w:p w14:paraId="3B9DD613">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082E935A">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5E5F528E">
      <w:pPr>
        <w:tabs>
          <w:tab w:val="left" w:pos="6300"/>
        </w:tabs>
        <w:adjustRightInd w:val="0"/>
        <w:snapToGrid w:val="0"/>
        <w:spacing w:line="500" w:lineRule="exact"/>
        <w:rPr>
          <w:rFonts w:ascii="宋体" w:hAnsi="宋体" w:cs="宋体"/>
          <w:color w:val="auto"/>
          <w:sz w:val="24"/>
          <w:highlight w:val="none"/>
        </w:rPr>
      </w:pPr>
    </w:p>
    <w:p w14:paraId="7F6A3D98">
      <w:pPr>
        <w:tabs>
          <w:tab w:val="left" w:pos="6300"/>
        </w:tabs>
        <w:adjustRightInd w:val="0"/>
        <w:snapToGrid w:val="0"/>
        <w:spacing w:line="500" w:lineRule="exact"/>
        <w:rPr>
          <w:rFonts w:ascii="宋体" w:hAnsi="宋体" w:cs="宋体"/>
          <w:color w:val="auto"/>
          <w:sz w:val="24"/>
          <w:highlight w:val="none"/>
        </w:rPr>
      </w:pPr>
    </w:p>
    <w:p w14:paraId="51CAE13B">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1C0BC664">
      <w:pPr>
        <w:tabs>
          <w:tab w:val="left" w:pos="6300"/>
        </w:tabs>
        <w:adjustRightInd w:val="0"/>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58FA5998">
      <w:pPr>
        <w:tabs>
          <w:tab w:val="left" w:pos="6300"/>
        </w:tabs>
        <w:adjustRightInd w:val="0"/>
        <w:snapToGrid w:val="0"/>
        <w:spacing w:line="500" w:lineRule="exact"/>
        <w:rPr>
          <w:rFonts w:ascii="宋体" w:hAnsi="宋体" w:cs="宋体"/>
          <w:color w:val="auto"/>
          <w:sz w:val="24"/>
          <w:szCs w:val="28"/>
          <w:highlight w:val="none"/>
        </w:rPr>
      </w:pPr>
    </w:p>
    <w:p w14:paraId="1430FE4E">
      <w:pPr>
        <w:tabs>
          <w:tab w:val="left" w:pos="6300"/>
        </w:tabs>
        <w:adjustRightInd w:val="0"/>
        <w:snapToGrid w:val="0"/>
        <w:spacing w:line="500" w:lineRule="exact"/>
        <w:rPr>
          <w:rFonts w:ascii="宋体" w:hAnsi="宋体" w:cs="宋体"/>
          <w:color w:val="auto"/>
          <w:sz w:val="24"/>
          <w:highlight w:val="none"/>
        </w:rPr>
      </w:pPr>
    </w:p>
    <w:p w14:paraId="060C5076">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F69CF32">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5390A2A0">
      <w:pPr>
        <w:tabs>
          <w:tab w:val="left" w:pos="6300"/>
        </w:tabs>
        <w:adjustRightInd w:val="0"/>
        <w:snapToGrid w:val="0"/>
        <w:spacing w:line="500" w:lineRule="exact"/>
        <w:rPr>
          <w:rFonts w:ascii="宋体" w:hAnsi="宋体" w:cs="宋体"/>
          <w:color w:val="auto"/>
          <w:sz w:val="24"/>
          <w:highlight w:val="none"/>
        </w:rPr>
      </w:pPr>
    </w:p>
    <w:p w14:paraId="7D2F30FA">
      <w:pPr>
        <w:tabs>
          <w:tab w:val="left" w:pos="6300"/>
        </w:tabs>
        <w:adjustRightInd w:val="0"/>
        <w:snapToGrid w:val="0"/>
        <w:spacing w:line="500" w:lineRule="exact"/>
        <w:ind w:right="480"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4B067BC9">
      <w:pPr>
        <w:tabs>
          <w:tab w:val="left" w:pos="6300"/>
        </w:tabs>
        <w:adjustRightInd w:val="0"/>
        <w:snapToGrid w:val="0"/>
        <w:spacing w:line="500" w:lineRule="exact"/>
        <w:ind w:right="480" w:firstLine="480" w:firstLineChars="200"/>
        <w:jc w:val="right"/>
        <w:rPr>
          <w:rFonts w:ascii="宋体" w:hAnsi="宋体" w:cs="宋体"/>
          <w:color w:val="auto"/>
          <w:sz w:val="24"/>
          <w:highlight w:val="none"/>
        </w:rPr>
      </w:pPr>
      <w:r>
        <w:rPr>
          <w:rFonts w:hint="eastAsia" w:ascii="宋体" w:hAnsi="宋体" w:cs="宋体"/>
          <w:color w:val="auto"/>
          <w:sz w:val="24"/>
          <w:highlight w:val="none"/>
        </w:rPr>
        <w:t>年   月   日</w:t>
      </w:r>
    </w:p>
    <w:p w14:paraId="77E9D825">
      <w:pPr>
        <w:tabs>
          <w:tab w:val="left" w:pos="6300"/>
        </w:tabs>
        <w:adjustRightInd w:val="0"/>
        <w:snapToGrid w:val="0"/>
        <w:spacing w:line="500" w:lineRule="exact"/>
        <w:ind w:right="480"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06DA84B3">
      <w:pPr>
        <w:tabs>
          <w:tab w:val="left" w:pos="6300"/>
        </w:tabs>
        <w:adjustRightInd w:val="0"/>
        <w:snapToGrid w:val="0"/>
        <w:spacing w:line="500" w:lineRule="exact"/>
        <w:ind w:right="480"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736F0611">
      <w:pPr>
        <w:pStyle w:val="6"/>
        <w:adjustRightInd w:val="0"/>
        <w:snapToGrid w:val="0"/>
        <w:spacing w:line="500" w:lineRule="exact"/>
        <w:ind w:left="57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1.若为法定代表人办理并签署响应文件的，不提供此文件。</w:t>
      </w:r>
    </w:p>
    <w:p w14:paraId="13C2A1E6">
      <w:pPr>
        <w:tabs>
          <w:tab w:val="left" w:pos="630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FBF4A96">
      <w:pPr>
        <w:tabs>
          <w:tab w:val="left" w:pos="6300"/>
        </w:tabs>
        <w:adjustRightInd w:val="0"/>
        <w:snapToGrid w:val="0"/>
        <w:spacing w:line="5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基本资格条件承诺函</w:t>
      </w:r>
    </w:p>
    <w:p w14:paraId="76921865">
      <w:pPr>
        <w:tabs>
          <w:tab w:val="left" w:pos="6300"/>
        </w:tabs>
        <w:adjustRightInd w:val="0"/>
        <w:snapToGrid w:val="0"/>
        <w:spacing w:line="500" w:lineRule="exact"/>
        <w:rPr>
          <w:rFonts w:ascii="宋体" w:hAnsi="宋体" w:cs="宋体"/>
          <w:color w:val="auto"/>
          <w:sz w:val="24"/>
          <w:szCs w:val="24"/>
          <w:highlight w:val="none"/>
        </w:rPr>
      </w:pPr>
    </w:p>
    <w:p w14:paraId="166C995E">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rPr>
        <w:t>重庆市文物考古研究院（重庆文化遗产保护中心）</w:t>
      </w:r>
      <w:r>
        <w:rPr>
          <w:rFonts w:hint="eastAsia" w:ascii="宋体" w:hAnsi="宋体" w:cs="宋体"/>
          <w:color w:val="auto"/>
          <w:sz w:val="24"/>
          <w:szCs w:val="24"/>
          <w:highlight w:val="none"/>
        </w:rPr>
        <w:t>：</w:t>
      </w:r>
    </w:p>
    <w:p w14:paraId="562FA36D">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51001F38">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，满足法律、行政法规规定的其他条件，参加本项目采购活动前三年内无重大违法活动记录。</w:t>
      </w:r>
    </w:p>
    <w:p w14:paraId="2DD99878">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F27F571">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180E980A">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727D4863">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677492A6">
      <w:pPr>
        <w:tabs>
          <w:tab w:val="left" w:pos="6300"/>
        </w:tabs>
        <w:adjustRightInd w:val="0"/>
        <w:snapToGrid w:val="0"/>
        <w:spacing w:line="500" w:lineRule="exact"/>
        <w:rPr>
          <w:rFonts w:ascii="宋体" w:hAnsi="宋体" w:cs="宋体"/>
          <w:color w:val="auto"/>
          <w:sz w:val="24"/>
          <w:szCs w:val="24"/>
          <w:highlight w:val="none"/>
        </w:rPr>
      </w:pPr>
    </w:p>
    <w:p w14:paraId="2D97CD8B">
      <w:pPr>
        <w:tabs>
          <w:tab w:val="left" w:pos="6300"/>
        </w:tabs>
        <w:adjustRightInd w:val="0"/>
        <w:snapToGrid w:val="0"/>
        <w:spacing w:line="500" w:lineRule="exact"/>
        <w:ind w:right="424"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39FCFEEC">
      <w:pPr>
        <w:adjustRightInd w:val="0"/>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37A63505">
      <w:pPr>
        <w:rPr>
          <w:rFonts w:ascii="宋体" w:hAnsi="宋体" w:cs="宋体"/>
          <w:color w:val="auto"/>
          <w:highlight w:val="none"/>
        </w:rPr>
      </w:pPr>
      <w:r>
        <w:rPr>
          <w:rFonts w:ascii="宋体" w:hAnsi="宋体" w:cs="宋体"/>
          <w:color w:val="auto"/>
          <w:highlight w:val="none"/>
        </w:rPr>
        <w:br w:type="page"/>
      </w:r>
    </w:p>
    <w:p w14:paraId="485B9FA6">
      <w:pPr>
        <w:rPr>
          <w:rFonts w:ascii="宋体" w:hAnsi="宋体" w:cs="宋体"/>
          <w:color w:val="auto"/>
          <w:highlight w:val="none"/>
        </w:rPr>
      </w:pPr>
      <w:bookmarkStart w:id="17" w:name="_Toc106030910"/>
      <w:bookmarkStart w:id="18" w:name="_Toc76462354"/>
      <w:r>
        <w:rPr>
          <w:rFonts w:hint="eastAsia" w:ascii="宋体" w:hAnsi="宋体" w:cs="宋体"/>
          <w:color w:val="auto"/>
          <w:highlight w:val="none"/>
        </w:rPr>
        <w:t>五、其他资料</w:t>
      </w:r>
      <w:bookmarkEnd w:id="17"/>
      <w:bookmarkEnd w:id="18"/>
    </w:p>
    <w:p w14:paraId="06A7C594">
      <w:pPr>
        <w:rPr>
          <w:rFonts w:ascii="宋体" w:hAnsi="宋体" w:cs="宋体"/>
          <w:color w:val="auto"/>
          <w:highlight w:val="none"/>
        </w:rPr>
      </w:pPr>
      <w:r>
        <w:rPr>
          <w:rFonts w:ascii="宋体" w:hAnsi="宋体" w:cs="宋体"/>
          <w:color w:val="auto"/>
          <w:highlight w:val="none"/>
        </w:rPr>
        <w:t>（</w:t>
      </w:r>
      <w:r>
        <w:rPr>
          <w:rFonts w:hint="eastAsia" w:ascii="宋体" w:hAnsi="宋体" w:cs="宋体"/>
          <w:color w:val="auto"/>
          <w:highlight w:val="none"/>
        </w:rPr>
        <w:t>一</w:t>
      </w:r>
      <w:r>
        <w:rPr>
          <w:rFonts w:ascii="宋体" w:hAnsi="宋体" w:cs="宋体"/>
          <w:color w:val="auto"/>
          <w:highlight w:val="none"/>
        </w:rPr>
        <w:t>）其他与项目有关的资料</w:t>
      </w:r>
    </w:p>
    <w:p w14:paraId="2EEAA598">
      <w:pPr>
        <w:rPr>
          <w:color w:val="auto"/>
          <w:highlight w:val="none"/>
        </w:rPr>
      </w:pPr>
    </w:p>
    <w:sectPr>
      <w:footerReference r:id="rId5" w:type="default"/>
      <w:pgSz w:w="11906" w:h="16838"/>
      <w:pgMar w:top="1984" w:right="1446" w:bottom="1644" w:left="144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117034-CA9E-46F0-B837-176D8B6427DD}"/>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4F457241-E167-4837-95F5-D9D7A588251C}"/>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215E8B8-F30C-457C-AF50-CCC4FFF7620C}"/>
  </w:font>
  <w:font w:name="微软雅黑">
    <w:panose1 w:val="020B0503020204020204"/>
    <w:charset w:val="86"/>
    <w:family w:val="auto"/>
    <w:pitch w:val="default"/>
    <w:sig w:usb0="80000287" w:usb1="2ACF3C50" w:usb2="00000016" w:usb3="00000000" w:csb0="0004001F" w:csb1="00000000"/>
    <w:embedRegular r:id="rId4" w:fontKey="{F015FFED-03F7-441B-A7C9-48619A69513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DBE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4781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A4781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2BAEC"/>
    <w:multiLevelType w:val="singleLevel"/>
    <w:tmpl w:val="BF72BAEC"/>
    <w:lvl w:ilvl="0" w:tentative="0">
      <w:start w:val="1"/>
      <w:numFmt w:val="decimal"/>
      <w:lvlText w:val="%1."/>
      <w:lvlJc w:val="left"/>
      <w:pPr>
        <w:tabs>
          <w:tab w:val="left" w:pos="312"/>
        </w:tabs>
      </w:pPr>
    </w:lvl>
  </w:abstractNum>
  <w:abstractNum w:abstractNumId="1">
    <w:nsid w:val="1CEACBD7"/>
    <w:multiLevelType w:val="singleLevel"/>
    <w:tmpl w:val="1CEACBD7"/>
    <w:lvl w:ilvl="0" w:tentative="0">
      <w:start w:val="2"/>
      <w:numFmt w:val="chineseCounting"/>
      <w:suff w:val="nothing"/>
      <w:lvlText w:val="%1、"/>
      <w:lvlJc w:val="left"/>
      <w:rPr>
        <w:rFonts w:hint="eastAsia"/>
      </w:rPr>
    </w:lvl>
  </w:abstractNum>
  <w:abstractNum w:abstractNumId="2">
    <w:nsid w:val="2C7BAC3A"/>
    <w:multiLevelType w:val="singleLevel"/>
    <w:tmpl w:val="2C7BAC3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64C13"/>
    <w:rsid w:val="00086F93"/>
    <w:rsid w:val="000D0663"/>
    <w:rsid w:val="0017384A"/>
    <w:rsid w:val="001B364E"/>
    <w:rsid w:val="001D10D5"/>
    <w:rsid w:val="00246061"/>
    <w:rsid w:val="00304D8F"/>
    <w:rsid w:val="0030640D"/>
    <w:rsid w:val="00342047"/>
    <w:rsid w:val="003548C5"/>
    <w:rsid w:val="0036487C"/>
    <w:rsid w:val="00367CE0"/>
    <w:rsid w:val="00383D91"/>
    <w:rsid w:val="003E7BD8"/>
    <w:rsid w:val="00404D54"/>
    <w:rsid w:val="00421585"/>
    <w:rsid w:val="004A3312"/>
    <w:rsid w:val="004E3546"/>
    <w:rsid w:val="00581752"/>
    <w:rsid w:val="005F4816"/>
    <w:rsid w:val="00614881"/>
    <w:rsid w:val="006861B0"/>
    <w:rsid w:val="0073688F"/>
    <w:rsid w:val="007369A0"/>
    <w:rsid w:val="00786BF5"/>
    <w:rsid w:val="007C7BC8"/>
    <w:rsid w:val="00862FDA"/>
    <w:rsid w:val="008901C5"/>
    <w:rsid w:val="008C4FCD"/>
    <w:rsid w:val="0098392B"/>
    <w:rsid w:val="009923D2"/>
    <w:rsid w:val="00993073"/>
    <w:rsid w:val="00A46F64"/>
    <w:rsid w:val="00A87144"/>
    <w:rsid w:val="00AC6992"/>
    <w:rsid w:val="00AE3302"/>
    <w:rsid w:val="00C11603"/>
    <w:rsid w:val="00C313FB"/>
    <w:rsid w:val="00C646FA"/>
    <w:rsid w:val="00CC5AC0"/>
    <w:rsid w:val="00D115E7"/>
    <w:rsid w:val="00D119D7"/>
    <w:rsid w:val="00D13CB1"/>
    <w:rsid w:val="00D32689"/>
    <w:rsid w:val="00D351A9"/>
    <w:rsid w:val="00D70EC2"/>
    <w:rsid w:val="00DA54CF"/>
    <w:rsid w:val="00DA5DAF"/>
    <w:rsid w:val="00DB4E80"/>
    <w:rsid w:val="00E57DE3"/>
    <w:rsid w:val="00E66548"/>
    <w:rsid w:val="00EA259D"/>
    <w:rsid w:val="00F0487F"/>
    <w:rsid w:val="00F4063A"/>
    <w:rsid w:val="00F46C9A"/>
    <w:rsid w:val="01B0664E"/>
    <w:rsid w:val="022E1402"/>
    <w:rsid w:val="022F436A"/>
    <w:rsid w:val="031464AA"/>
    <w:rsid w:val="033C49A3"/>
    <w:rsid w:val="03812F6D"/>
    <w:rsid w:val="038327FA"/>
    <w:rsid w:val="041476CE"/>
    <w:rsid w:val="04182746"/>
    <w:rsid w:val="046B249C"/>
    <w:rsid w:val="04AE776B"/>
    <w:rsid w:val="05177476"/>
    <w:rsid w:val="058B3D03"/>
    <w:rsid w:val="05AB7BBE"/>
    <w:rsid w:val="06AE0611"/>
    <w:rsid w:val="073D32F5"/>
    <w:rsid w:val="080261BB"/>
    <w:rsid w:val="086230FE"/>
    <w:rsid w:val="08923E32"/>
    <w:rsid w:val="089808CE"/>
    <w:rsid w:val="09E518F1"/>
    <w:rsid w:val="0ACD1B3D"/>
    <w:rsid w:val="0ADD3FAE"/>
    <w:rsid w:val="0B122005"/>
    <w:rsid w:val="0B3C19E4"/>
    <w:rsid w:val="0B9454AB"/>
    <w:rsid w:val="0BD41410"/>
    <w:rsid w:val="0C34090D"/>
    <w:rsid w:val="0CDD2D53"/>
    <w:rsid w:val="0CF63E15"/>
    <w:rsid w:val="0D161A88"/>
    <w:rsid w:val="0DC6708C"/>
    <w:rsid w:val="0E3736F1"/>
    <w:rsid w:val="0F4E618A"/>
    <w:rsid w:val="0F8558BB"/>
    <w:rsid w:val="103C1664"/>
    <w:rsid w:val="10E540B1"/>
    <w:rsid w:val="116976BC"/>
    <w:rsid w:val="11BB562D"/>
    <w:rsid w:val="11D72467"/>
    <w:rsid w:val="136E71D2"/>
    <w:rsid w:val="13706BF0"/>
    <w:rsid w:val="140D7D73"/>
    <w:rsid w:val="1421769B"/>
    <w:rsid w:val="144349CA"/>
    <w:rsid w:val="14932D03"/>
    <w:rsid w:val="14C8253B"/>
    <w:rsid w:val="15455939"/>
    <w:rsid w:val="16C32FBA"/>
    <w:rsid w:val="181B0BD3"/>
    <w:rsid w:val="19011F57"/>
    <w:rsid w:val="191E1684"/>
    <w:rsid w:val="1972585E"/>
    <w:rsid w:val="19F87477"/>
    <w:rsid w:val="1B541453"/>
    <w:rsid w:val="1BC51582"/>
    <w:rsid w:val="1C1A2D59"/>
    <w:rsid w:val="1C4C57FF"/>
    <w:rsid w:val="1CB239FF"/>
    <w:rsid w:val="1CB659F1"/>
    <w:rsid w:val="1E3E561C"/>
    <w:rsid w:val="200E05B1"/>
    <w:rsid w:val="20917897"/>
    <w:rsid w:val="20B215DB"/>
    <w:rsid w:val="20C544AF"/>
    <w:rsid w:val="20CB6CB7"/>
    <w:rsid w:val="211F1734"/>
    <w:rsid w:val="214C2ADA"/>
    <w:rsid w:val="21E309B4"/>
    <w:rsid w:val="220C083F"/>
    <w:rsid w:val="221B2A67"/>
    <w:rsid w:val="224D2EB5"/>
    <w:rsid w:val="22D447A0"/>
    <w:rsid w:val="23C95987"/>
    <w:rsid w:val="24B108F5"/>
    <w:rsid w:val="2593624D"/>
    <w:rsid w:val="25981347"/>
    <w:rsid w:val="270D67FE"/>
    <w:rsid w:val="27133A29"/>
    <w:rsid w:val="27321A96"/>
    <w:rsid w:val="277F3546"/>
    <w:rsid w:val="27A74CA5"/>
    <w:rsid w:val="28D11CDD"/>
    <w:rsid w:val="28E53263"/>
    <w:rsid w:val="29010B9E"/>
    <w:rsid w:val="29D00809"/>
    <w:rsid w:val="2AB84257"/>
    <w:rsid w:val="2B5F449B"/>
    <w:rsid w:val="2B9106D3"/>
    <w:rsid w:val="2BBF5B57"/>
    <w:rsid w:val="2BDA4BD6"/>
    <w:rsid w:val="2BF64F9C"/>
    <w:rsid w:val="2C482A44"/>
    <w:rsid w:val="2C964A81"/>
    <w:rsid w:val="2CC31B0E"/>
    <w:rsid w:val="2D6243F5"/>
    <w:rsid w:val="2E5444E9"/>
    <w:rsid w:val="2E84707B"/>
    <w:rsid w:val="2EC211EA"/>
    <w:rsid w:val="304765B2"/>
    <w:rsid w:val="30D23125"/>
    <w:rsid w:val="31061FC9"/>
    <w:rsid w:val="32130337"/>
    <w:rsid w:val="328062C5"/>
    <w:rsid w:val="33907E8C"/>
    <w:rsid w:val="3402116D"/>
    <w:rsid w:val="341474A9"/>
    <w:rsid w:val="347F2794"/>
    <w:rsid w:val="349E3D54"/>
    <w:rsid w:val="34A62CC8"/>
    <w:rsid w:val="36D23C54"/>
    <w:rsid w:val="36FF3F32"/>
    <w:rsid w:val="371E0A02"/>
    <w:rsid w:val="381C797F"/>
    <w:rsid w:val="38E56968"/>
    <w:rsid w:val="39A20CFD"/>
    <w:rsid w:val="3AA06FEA"/>
    <w:rsid w:val="3AE05CBA"/>
    <w:rsid w:val="3AF47336"/>
    <w:rsid w:val="3B855AA9"/>
    <w:rsid w:val="3B924490"/>
    <w:rsid w:val="3B997DD0"/>
    <w:rsid w:val="3C07622C"/>
    <w:rsid w:val="3C157564"/>
    <w:rsid w:val="3C1B5BAC"/>
    <w:rsid w:val="3C3944DC"/>
    <w:rsid w:val="3CA07775"/>
    <w:rsid w:val="3EB92D70"/>
    <w:rsid w:val="3EE37A50"/>
    <w:rsid w:val="3EF74A46"/>
    <w:rsid w:val="3F0A35CC"/>
    <w:rsid w:val="4048174B"/>
    <w:rsid w:val="405614B0"/>
    <w:rsid w:val="40EC2905"/>
    <w:rsid w:val="414D77A0"/>
    <w:rsid w:val="41612E9A"/>
    <w:rsid w:val="41DE4E43"/>
    <w:rsid w:val="41F06C79"/>
    <w:rsid w:val="423609B2"/>
    <w:rsid w:val="424B3172"/>
    <w:rsid w:val="424E7B40"/>
    <w:rsid w:val="43137E8F"/>
    <w:rsid w:val="43F81467"/>
    <w:rsid w:val="449776B0"/>
    <w:rsid w:val="44A1408B"/>
    <w:rsid w:val="44A742AF"/>
    <w:rsid w:val="44C81693"/>
    <w:rsid w:val="466C691A"/>
    <w:rsid w:val="47024B89"/>
    <w:rsid w:val="4763768D"/>
    <w:rsid w:val="47E51F57"/>
    <w:rsid w:val="48142270"/>
    <w:rsid w:val="489B5295"/>
    <w:rsid w:val="49796A18"/>
    <w:rsid w:val="49D31A10"/>
    <w:rsid w:val="49FE5F07"/>
    <w:rsid w:val="4A8A4377"/>
    <w:rsid w:val="4B2E1B45"/>
    <w:rsid w:val="4C116F1B"/>
    <w:rsid w:val="4C541EEB"/>
    <w:rsid w:val="4D110022"/>
    <w:rsid w:val="4E0B6A19"/>
    <w:rsid w:val="4E451F2B"/>
    <w:rsid w:val="4E7D5950"/>
    <w:rsid w:val="4FA76912"/>
    <w:rsid w:val="50357D7D"/>
    <w:rsid w:val="505418DC"/>
    <w:rsid w:val="516910D1"/>
    <w:rsid w:val="51D5531F"/>
    <w:rsid w:val="52901701"/>
    <w:rsid w:val="530838A3"/>
    <w:rsid w:val="530A3D39"/>
    <w:rsid w:val="53531CE8"/>
    <w:rsid w:val="53536E98"/>
    <w:rsid w:val="540B4436"/>
    <w:rsid w:val="54FC26B7"/>
    <w:rsid w:val="553D1193"/>
    <w:rsid w:val="557032B8"/>
    <w:rsid w:val="56EE00F5"/>
    <w:rsid w:val="57197D25"/>
    <w:rsid w:val="5764628E"/>
    <w:rsid w:val="579441B0"/>
    <w:rsid w:val="57A51342"/>
    <w:rsid w:val="57DB745C"/>
    <w:rsid w:val="588F683A"/>
    <w:rsid w:val="58CD4FF7"/>
    <w:rsid w:val="599022FF"/>
    <w:rsid w:val="59E049F9"/>
    <w:rsid w:val="59ED08EF"/>
    <w:rsid w:val="5A8272CD"/>
    <w:rsid w:val="5B3004B0"/>
    <w:rsid w:val="5B751975"/>
    <w:rsid w:val="5BC97B55"/>
    <w:rsid w:val="5C68491F"/>
    <w:rsid w:val="5CC84710"/>
    <w:rsid w:val="5E623282"/>
    <w:rsid w:val="5EC53368"/>
    <w:rsid w:val="5F8605F5"/>
    <w:rsid w:val="60E734E7"/>
    <w:rsid w:val="61F061FA"/>
    <w:rsid w:val="624774C3"/>
    <w:rsid w:val="62DE1443"/>
    <w:rsid w:val="63853D7F"/>
    <w:rsid w:val="639D2CD2"/>
    <w:rsid w:val="63A07F6E"/>
    <w:rsid w:val="64C073DB"/>
    <w:rsid w:val="657667D3"/>
    <w:rsid w:val="65A45331"/>
    <w:rsid w:val="65D42E42"/>
    <w:rsid w:val="65EA5B1B"/>
    <w:rsid w:val="65FC7315"/>
    <w:rsid w:val="679F4002"/>
    <w:rsid w:val="682269E1"/>
    <w:rsid w:val="68C161FA"/>
    <w:rsid w:val="68C31D67"/>
    <w:rsid w:val="68DE097B"/>
    <w:rsid w:val="69023EE9"/>
    <w:rsid w:val="698D3B69"/>
    <w:rsid w:val="6AB04778"/>
    <w:rsid w:val="6C1578A5"/>
    <w:rsid w:val="6C45090D"/>
    <w:rsid w:val="6EB20ABF"/>
    <w:rsid w:val="6EC1311E"/>
    <w:rsid w:val="6F767D3E"/>
    <w:rsid w:val="71272553"/>
    <w:rsid w:val="71A010A2"/>
    <w:rsid w:val="72292B5E"/>
    <w:rsid w:val="7298621E"/>
    <w:rsid w:val="74335E05"/>
    <w:rsid w:val="748D2A60"/>
    <w:rsid w:val="752D2B8E"/>
    <w:rsid w:val="75774810"/>
    <w:rsid w:val="75975C27"/>
    <w:rsid w:val="75AD26A3"/>
    <w:rsid w:val="75DF64BE"/>
    <w:rsid w:val="76996286"/>
    <w:rsid w:val="76AF44D0"/>
    <w:rsid w:val="76F53C3E"/>
    <w:rsid w:val="77874C68"/>
    <w:rsid w:val="77912E40"/>
    <w:rsid w:val="787B0D65"/>
    <w:rsid w:val="79147DDA"/>
    <w:rsid w:val="79BB45B4"/>
    <w:rsid w:val="79BC1DEB"/>
    <w:rsid w:val="79EC7DDC"/>
    <w:rsid w:val="7A4229B0"/>
    <w:rsid w:val="7B7339E4"/>
    <w:rsid w:val="7BBD0AA3"/>
    <w:rsid w:val="7CC3637C"/>
    <w:rsid w:val="7CED3690"/>
    <w:rsid w:val="7CFF2637"/>
    <w:rsid w:val="7D983576"/>
    <w:rsid w:val="7E3D181E"/>
    <w:rsid w:val="7EAC2B50"/>
    <w:rsid w:val="7EEF5417"/>
    <w:rsid w:val="7EF90044"/>
    <w:rsid w:val="7F364DF4"/>
    <w:rsid w:val="7F3E1EFB"/>
    <w:rsid w:val="7FA2692E"/>
    <w:rsid w:val="7FEE56CF"/>
    <w:rsid w:val="B7DF4300"/>
    <w:rsid w:val="F6FB88A2"/>
    <w:rsid w:val="F7DF18A1"/>
    <w:rsid w:val="FCFFEE6F"/>
    <w:rsid w:val="FF3FB6E6"/>
    <w:rsid w:val="FF53E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Plain Text"/>
    <w:basedOn w:val="1"/>
    <w:qFormat/>
    <w:uiPriority w:val="0"/>
    <w:rPr>
      <w:rFonts w:ascii="宋体" w:hAnsi="Courier New"/>
      <w:sz w:val="21"/>
    </w:rPr>
  </w:style>
  <w:style w:type="paragraph" w:styleId="8">
    <w:name w:val="Body Text Indent 2"/>
    <w:basedOn w:val="1"/>
    <w:qFormat/>
    <w:uiPriority w:val="0"/>
    <w:pPr>
      <w:snapToGrid w:val="0"/>
      <w:spacing w:line="560" w:lineRule="atLeast"/>
      <w:ind w:firstLine="54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2"/>
    <w:qFormat/>
    <w:uiPriority w:val="0"/>
    <w:pPr>
      <w:spacing w:line="360" w:lineRule="auto"/>
      <w:ind w:firstLine="420"/>
    </w:pPr>
    <w:rPr>
      <w:rFonts w:ascii="宋体" w:hAnsi="宋体"/>
      <w:sz w:val="24"/>
    </w:rPr>
  </w:style>
  <w:style w:type="paragraph" w:customStyle="1" w:styleId="12">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格式"/>
    <w:basedOn w:val="17"/>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7">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Heading3"/>
    <w:basedOn w:val="1"/>
    <w:next w:val="1"/>
    <w:qFormat/>
    <w:uiPriority w:val="0"/>
    <w:pPr>
      <w:keepNext/>
      <w:keepLines/>
      <w:spacing w:before="260" w:after="260" w:line="412" w:lineRule="auto"/>
    </w:pPr>
    <w:rPr>
      <w:b/>
      <w:bCs/>
      <w:sz w:val="32"/>
      <w:szCs w:val="32"/>
    </w:rPr>
  </w:style>
  <w:style w:type="paragraph" w:customStyle="1" w:styleId="19">
    <w:name w:val="信息部正文"/>
    <w:basedOn w:val="1"/>
    <w:qFormat/>
    <w:uiPriority w:val="0"/>
    <w:pPr>
      <w:ind w:firstLine="480" w:firstLineChars="200"/>
    </w:pPr>
    <w:rPr>
      <w:rFonts w:ascii="宋体" w:hAnsi="宋体" w:cs="宋体"/>
    </w:rPr>
  </w:style>
  <w:style w:type="character" w:customStyle="1" w:styleId="20">
    <w:name w:val="页眉 字符"/>
    <w:basedOn w:val="15"/>
    <w:link w:val="10"/>
    <w:qFormat/>
    <w:uiPriority w:val="0"/>
    <w:rPr>
      <w:kern w:val="2"/>
      <w:sz w:val="18"/>
      <w:szCs w:val="18"/>
    </w:rPr>
  </w:style>
  <w:style w:type="character" w:customStyle="1" w:styleId="21">
    <w:name w:val="页脚 字符"/>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688</Words>
  <Characters>711</Characters>
  <Lines>37</Lines>
  <Paragraphs>10</Paragraphs>
  <TotalTime>0</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2025-10-12T14:44:00Z</dcterms:created>
  <dc:creator>丹姐</dc:creator>
  <cp:lastModifiedBy>航</cp:lastModifiedBy>
  <cp:lastPrinted>2026-03-16T02:15:00Z</cp:lastPrinted>
  <dcterms:modified xsi:type="dcterms:W3CDTF">2026-03-23T01:40:41Z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FD7475A9377544F2B5C378BB3A2C394B_13</vt:lpwstr>
  </property>
  <property fmtid="{D5CDD505-2E9C-101B-9397-08002B2CF9AE}" pid="4" name="KSOTemplateDocerSaveRecord">
    <vt:lpwstr>eyJoZGlkIjoiY2Y4Njg0NGFmMzgwOWY1MjIxY2RhNmQ5MDY0NGQxMDUiLCJ1c2VySWQiOiI0MzM3MDk0NTkifQ==</vt:lpwstr>
  </property>
</Properties>
</file>