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BA7E8">
      <w:pPr>
        <w:widowControl/>
        <w:shd w:val="clear" w:color="auto" w:fill="FFFFFF"/>
        <w:spacing w:line="500" w:lineRule="exact"/>
        <w:jc w:val="center"/>
        <w:rPr>
          <w:rFonts w:eastAsia="方正仿宋_GBK" w:cs="宋体" w:asciiTheme="minorHAnsi" w:hAnsiTheme="minorHAnsi"/>
          <w:b/>
          <w:bCs/>
          <w:color w:val="auto"/>
          <w:kern w:val="0"/>
          <w:sz w:val="32"/>
          <w:szCs w:val="32"/>
          <w:highlight w:val="none"/>
        </w:rPr>
      </w:pPr>
    </w:p>
    <w:p w14:paraId="3A803D62">
      <w:pPr>
        <w:widowControl/>
        <w:shd w:val="clear" w:color="auto" w:fill="FFFFFF"/>
        <w:spacing w:line="500" w:lineRule="exact"/>
        <w:rPr>
          <w:rFonts w:ascii="方正仿宋_GBK" w:hAnsi="宋体" w:eastAsia="方正仿宋_GBK" w:cs="宋体"/>
          <w:b/>
          <w:bCs/>
          <w:color w:val="auto"/>
          <w:kern w:val="0"/>
          <w:sz w:val="32"/>
          <w:szCs w:val="32"/>
          <w:highlight w:val="none"/>
        </w:rPr>
      </w:pPr>
    </w:p>
    <w:p w14:paraId="1867F526">
      <w:pPr>
        <w:widowControl/>
        <w:shd w:val="clear" w:color="auto" w:fill="FFFFFF"/>
        <w:spacing w:line="500" w:lineRule="exact"/>
        <w:jc w:val="center"/>
        <w:rPr>
          <w:rFonts w:ascii="方正仿宋_GBK" w:hAnsi="宋体" w:eastAsia="方正仿宋_GBK" w:cs="宋体"/>
          <w:b/>
          <w:bCs/>
          <w:color w:val="auto"/>
          <w:kern w:val="0"/>
          <w:sz w:val="32"/>
          <w:szCs w:val="32"/>
          <w:highlight w:val="none"/>
        </w:rPr>
      </w:pPr>
    </w:p>
    <w:p w14:paraId="7068CC5A">
      <w:pPr>
        <w:jc w:val="center"/>
        <w:rPr>
          <w:rFonts w:ascii="宋体" w:hAnsi="宋体" w:cs="宋体"/>
          <w:b/>
          <w:bCs/>
          <w:color w:val="auto"/>
          <w:spacing w:val="80"/>
          <w:sz w:val="260"/>
          <w:szCs w:val="260"/>
          <w:highlight w:val="none"/>
        </w:rPr>
      </w:pPr>
      <w:r>
        <w:rPr>
          <w:rFonts w:hint="eastAsia" w:ascii="宋体" w:hAnsi="宋体" w:cs="宋体"/>
          <w:b/>
          <w:bCs/>
          <w:color w:val="auto"/>
          <w:sz w:val="96"/>
          <w:szCs w:val="56"/>
          <w:highlight w:val="none"/>
          <w:lang w:eastAsia="zh-CN"/>
        </w:rPr>
        <w:t>询比</w:t>
      </w:r>
      <w:r>
        <w:rPr>
          <w:rFonts w:hint="eastAsia" w:ascii="宋体" w:hAnsi="宋体" w:cs="宋体"/>
          <w:b/>
          <w:bCs/>
          <w:color w:val="auto"/>
          <w:sz w:val="96"/>
          <w:szCs w:val="56"/>
          <w:highlight w:val="none"/>
        </w:rPr>
        <w:t>文件</w:t>
      </w:r>
    </w:p>
    <w:p w14:paraId="641D7F7A">
      <w:pPr>
        <w:spacing w:line="700" w:lineRule="exact"/>
        <w:ind w:left="3196" w:leftChars="570" w:hanging="1600" w:hangingChars="500"/>
        <w:jc w:val="center"/>
        <w:rPr>
          <w:rFonts w:ascii="宋体" w:hAnsi="宋体" w:cs="宋体"/>
          <w:color w:val="auto"/>
          <w:sz w:val="32"/>
          <w:szCs w:val="32"/>
          <w:highlight w:val="none"/>
        </w:rPr>
      </w:pPr>
    </w:p>
    <w:p w14:paraId="4C977B98">
      <w:pPr>
        <w:spacing w:line="700" w:lineRule="exact"/>
        <w:ind w:left="3196" w:leftChars="570" w:hanging="1600" w:hangingChars="500"/>
        <w:jc w:val="center"/>
        <w:rPr>
          <w:rFonts w:ascii="宋体" w:hAnsi="宋体" w:cs="宋体"/>
          <w:color w:val="auto"/>
          <w:sz w:val="32"/>
          <w:szCs w:val="32"/>
          <w:highlight w:val="none"/>
        </w:rPr>
      </w:pPr>
    </w:p>
    <w:p w14:paraId="63268F1E">
      <w:pPr>
        <w:spacing w:line="700" w:lineRule="exact"/>
        <w:ind w:left="3196" w:leftChars="570" w:hanging="1600" w:hangingChars="500"/>
        <w:jc w:val="center"/>
        <w:rPr>
          <w:rFonts w:ascii="宋体" w:hAnsi="宋体" w:cs="宋体"/>
          <w:color w:val="auto"/>
          <w:sz w:val="32"/>
          <w:szCs w:val="32"/>
          <w:highlight w:val="none"/>
        </w:rPr>
      </w:pPr>
    </w:p>
    <w:p w14:paraId="60D516FF">
      <w:pPr>
        <w:spacing w:line="700" w:lineRule="exact"/>
        <w:ind w:left="3196" w:leftChars="570" w:hanging="1600" w:hangingChars="500"/>
        <w:jc w:val="center"/>
        <w:rPr>
          <w:rFonts w:ascii="宋体" w:hAnsi="宋体" w:cs="宋体"/>
          <w:color w:val="auto"/>
          <w:sz w:val="32"/>
          <w:szCs w:val="32"/>
          <w:highlight w:val="none"/>
        </w:rPr>
      </w:pPr>
    </w:p>
    <w:p w14:paraId="11DE764C">
      <w:pPr>
        <w:pStyle w:val="11"/>
        <w:keepNext w:val="0"/>
        <w:keepLines w:val="0"/>
        <w:widowControl/>
        <w:suppressLineNumbers w:val="0"/>
        <w:jc w:val="center"/>
        <w:rPr>
          <w:rFonts w:hint="default" w:ascii="宋体" w:hAnsi="宋体" w:eastAsia="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rPr>
        <w:t>项目名称:</w:t>
      </w:r>
      <w:r>
        <w:rPr>
          <w:rFonts w:hint="eastAsia"/>
          <w:color w:val="auto"/>
          <w:highlight w:val="none"/>
        </w:rPr>
        <w:t xml:space="preserve"> </w:t>
      </w:r>
      <w:r>
        <w:rPr>
          <w:rFonts w:hint="eastAsia" w:ascii="宋体" w:hAnsi="宋体" w:cs="宋体"/>
          <w:b/>
          <w:bCs/>
          <w:color w:val="auto"/>
          <w:kern w:val="0"/>
          <w:sz w:val="40"/>
          <w:szCs w:val="40"/>
          <w:highlight w:val="none"/>
          <w:lang w:val="en-US" w:eastAsia="zh-CN"/>
        </w:rPr>
        <w:t>2026</w:t>
      </w:r>
      <w:r>
        <w:rPr>
          <w:rFonts w:hint="eastAsia" w:ascii="宋体" w:hAnsi="宋体" w:cs="宋体"/>
          <w:b/>
          <w:bCs/>
          <w:color w:val="auto"/>
          <w:kern w:val="0"/>
          <w:sz w:val="40"/>
          <w:szCs w:val="40"/>
          <w:highlight w:val="none"/>
        </w:rPr>
        <w:t>年度</w:t>
      </w:r>
      <w:r>
        <w:rPr>
          <w:rFonts w:hint="eastAsia" w:ascii="宋体" w:hAnsi="宋体" w:cs="宋体"/>
          <w:b/>
          <w:bCs/>
          <w:color w:val="auto"/>
          <w:kern w:val="0"/>
          <w:sz w:val="40"/>
          <w:szCs w:val="40"/>
          <w:highlight w:val="none"/>
          <w:lang w:val="en-US" w:eastAsia="zh-CN"/>
        </w:rPr>
        <w:t>财务</w:t>
      </w:r>
      <w:r>
        <w:rPr>
          <w:rFonts w:hint="eastAsia" w:ascii="宋体" w:hAnsi="宋体" w:cs="宋体"/>
          <w:b/>
          <w:bCs/>
          <w:color w:val="auto"/>
          <w:kern w:val="0"/>
          <w:sz w:val="40"/>
          <w:szCs w:val="40"/>
          <w:highlight w:val="none"/>
        </w:rPr>
        <w:t>资料整理扫描</w:t>
      </w:r>
      <w:r>
        <w:rPr>
          <w:rFonts w:hint="eastAsia" w:ascii="宋体" w:hAnsi="宋体" w:cs="宋体"/>
          <w:b/>
          <w:bCs/>
          <w:color w:val="auto"/>
          <w:kern w:val="0"/>
          <w:sz w:val="40"/>
          <w:szCs w:val="40"/>
          <w:highlight w:val="none"/>
          <w:lang w:val="en-US" w:eastAsia="zh-CN"/>
        </w:rPr>
        <w:t>服务</w:t>
      </w:r>
    </w:p>
    <w:p w14:paraId="4FEB74A8">
      <w:pPr>
        <w:widowControl/>
        <w:shd w:val="clear" w:color="auto" w:fill="FFFFFF"/>
        <w:spacing w:line="500" w:lineRule="exact"/>
        <w:jc w:val="center"/>
        <w:rPr>
          <w:rFonts w:hint="eastAsia" w:ascii="宋体" w:hAnsi="宋体" w:cs="宋体"/>
          <w:b/>
          <w:bCs/>
          <w:color w:val="auto"/>
          <w:kern w:val="0"/>
          <w:sz w:val="40"/>
          <w:szCs w:val="40"/>
          <w:highlight w:val="none"/>
        </w:rPr>
      </w:pPr>
    </w:p>
    <w:p w14:paraId="7B334E3C">
      <w:pPr>
        <w:pStyle w:val="6"/>
        <w:rPr>
          <w:rFonts w:hint="eastAsia" w:ascii="宋体" w:hAnsi="宋体" w:cs="宋体"/>
          <w:b/>
          <w:bCs/>
          <w:color w:val="auto"/>
          <w:kern w:val="0"/>
          <w:sz w:val="40"/>
          <w:szCs w:val="40"/>
          <w:highlight w:val="none"/>
        </w:rPr>
      </w:pPr>
    </w:p>
    <w:p w14:paraId="55FFCE6E">
      <w:pPr>
        <w:rPr>
          <w:rFonts w:hint="eastAsia"/>
          <w:color w:val="auto"/>
          <w:highlight w:val="none"/>
        </w:rPr>
      </w:pPr>
    </w:p>
    <w:p w14:paraId="7DA3A363">
      <w:pPr>
        <w:widowControl/>
        <w:shd w:val="clear" w:color="auto" w:fill="FFFFFF"/>
        <w:spacing w:line="500" w:lineRule="exact"/>
        <w:ind w:firstLine="803" w:firstLineChars="200"/>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采购人：重庆市文物考古研究院(重庆文化遗产保护中心)</w:t>
      </w:r>
    </w:p>
    <w:p w14:paraId="58EE6803">
      <w:pPr>
        <w:widowControl/>
        <w:shd w:val="clear" w:color="auto" w:fill="FFFFFF"/>
        <w:spacing w:line="500" w:lineRule="exact"/>
        <w:jc w:val="center"/>
        <w:rPr>
          <w:rFonts w:ascii="宋体" w:hAnsi="宋体" w:cs="宋体"/>
          <w:b/>
          <w:bCs/>
          <w:color w:val="auto"/>
          <w:kern w:val="0"/>
          <w:sz w:val="32"/>
          <w:szCs w:val="32"/>
          <w:highlight w:val="none"/>
        </w:rPr>
      </w:pPr>
    </w:p>
    <w:p w14:paraId="051DBCD7">
      <w:pPr>
        <w:widowControl/>
        <w:shd w:val="clear" w:color="auto" w:fill="FFFFFF"/>
        <w:spacing w:line="500" w:lineRule="exact"/>
        <w:jc w:val="center"/>
        <w:rPr>
          <w:rFonts w:ascii="宋体" w:hAnsi="宋体" w:cs="宋体"/>
          <w:b/>
          <w:bCs/>
          <w:color w:val="auto"/>
          <w:kern w:val="0"/>
          <w:sz w:val="32"/>
          <w:szCs w:val="32"/>
          <w:highlight w:val="none"/>
        </w:rPr>
      </w:pPr>
    </w:p>
    <w:p w14:paraId="27085A05">
      <w:pPr>
        <w:widowControl/>
        <w:shd w:val="clear" w:color="auto" w:fill="FFFFFF"/>
        <w:spacing w:line="500" w:lineRule="exact"/>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六</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月</w:t>
      </w:r>
    </w:p>
    <w:p w14:paraId="4A1BC014">
      <w:pPr>
        <w:widowControl/>
        <w:shd w:val="clear" w:color="auto" w:fill="FFFFFF"/>
        <w:spacing w:line="500" w:lineRule="exact"/>
        <w:jc w:val="center"/>
        <w:rPr>
          <w:rFonts w:ascii="宋体" w:hAnsi="宋体" w:cs="宋体"/>
          <w:b/>
          <w:bCs/>
          <w:color w:val="auto"/>
          <w:kern w:val="0"/>
          <w:sz w:val="32"/>
          <w:szCs w:val="32"/>
          <w:highlight w:val="none"/>
        </w:rPr>
      </w:pPr>
    </w:p>
    <w:p w14:paraId="38B610B7">
      <w:pPr>
        <w:widowControl/>
        <w:shd w:val="clear" w:color="auto" w:fill="FFFFFF"/>
        <w:spacing w:line="500" w:lineRule="exact"/>
        <w:jc w:val="center"/>
        <w:rPr>
          <w:rFonts w:ascii="宋体" w:hAnsi="宋体" w:cs="宋体"/>
          <w:b/>
          <w:bCs/>
          <w:color w:val="auto"/>
          <w:kern w:val="0"/>
          <w:sz w:val="32"/>
          <w:szCs w:val="32"/>
          <w:highlight w:val="none"/>
        </w:rPr>
      </w:pPr>
    </w:p>
    <w:p w14:paraId="4E14BBAA">
      <w:pPr>
        <w:rPr>
          <w:color w:val="auto"/>
          <w:highlight w:val="none"/>
        </w:rPr>
        <w:sectPr>
          <w:pgSz w:w="11906" w:h="16838"/>
          <w:pgMar w:top="1984" w:right="1446" w:bottom="1644" w:left="1446" w:header="851" w:footer="992" w:gutter="0"/>
          <w:cols w:space="425" w:num="1"/>
          <w:docGrid w:type="lines" w:linePitch="312" w:charSpace="0"/>
        </w:sectPr>
      </w:pPr>
    </w:p>
    <w:p w14:paraId="47B9AEC2">
      <w:pPr>
        <w:pageBreakBefore w:val="0"/>
        <w:widowControl/>
        <w:shd w:val="clear" w:color="auto" w:fill="FFFFFF"/>
        <w:kinsoku/>
        <w:wordWrap/>
        <w:overflowPunct/>
        <w:topLinePunct w:val="0"/>
        <w:bidi w:val="0"/>
        <w:snapToGrid w:val="0"/>
        <w:spacing w:line="288" w:lineRule="auto"/>
        <w:jc w:val="center"/>
        <w:textAlignment w:val="auto"/>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lang w:eastAsia="zh-CN"/>
        </w:rPr>
        <w:t>询比</w:t>
      </w:r>
      <w:r>
        <w:rPr>
          <w:rFonts w:hint="eastAsia" w:ascii="宋体" w:hAnsi="宋体" w:cs="宋体"/>
          <w:b/>
          <w:bCs/>
          <w:color w:val="auto"/>
          <w:kern w:val="0"/>
          <w:sz w:val="40"/>
          <w:szCs w:val="40"/>
          <w:highlight w:val="none"/>
        </w:rPr>
        <w:t>公告</w:t>
      </w:r>
    </w:p>
    <w:p w14:paraId="1C208ACF">
      <w:pPr>
        <w:pStyle w:val="24"/>
        <w:pageBreakBefore w:val="0"/>
        <w:widowControl/>
        <w:numPr>
          <w:ilvl w:val="0"/>
          <w:numId w:val="0"/>
        </w:numPr>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一、</w:t>
      </w:r>
      <w:r>
        <w:rPr>
          <w:rFonts w:hint="eastAsia" w:ascii="宋体" w:hAnsi="宋体" w:cs="宋体"/>
          <w:b/>
          <w:bCs/>
          <w:color w:val="auto"/>
          <w:kern w:val="0"/>
          <w:sz w:val="24"/>
          <w:szCs w:val="24"/>
          <w:highlight w:val="none"/>
        </w:rPr>
        <w:t>服务内容</w:t>
      </w:r>
    </w:p>
    <w:p w14:paraId="213CE9CC">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完成2024-2025年度财务资料整理、电子化扫描及数字化加工等</w:t>
      </w:r>
      <w:r>
        <w:rPr>
          <w:rFonts w:hint="eastAsia" w:ascii="宋体" w:hAnsi="宋体" w:cs="宋体"/>
          <w:color w:val="auto"/>
          <w:kern w:val="0"/>
          <w:sz w:val="24"/>
          <w:szCs w:val="24"/>
          <w:highlight w:val="none"/>
          <w:lang w:val="en-US" w:eastAsia="zh-CN" w:bidi="ar-SA"/>
        </w:rPr>
        <w:t>（约20万页次）</w:t>
      </w:r>
      <w:r>
        <w:rPr>
          <w:rFonts w:hint="eastAsia" w:ascii="宋体" w:hAnsi="宋体" w:eastAsia="宋体" w:cs="宋体"/>
          <w:color w:val="auto"/>
          <w:kern w:val="0"/>
          <w:sz w:val="24"/>
          <w:szCs w:val="24"/>
          <w:highlight w:val="none"/>
          <w:lang w:val="en-US" w:eastAsia="zh-CN" w:bidi="ar-SA"/>
        </w:rPr>
        <w:t>相关工作，并结合本次工作，梳理相关数据及管理经验</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形成1份满足财务资料数字化建设要求，具备一定的实践参考价值关于我院的财务档案整理工作报告。</w:t>
      </w:r>
    </w:p>
    <w:p w14:paraId="40C428DC">
      <w:pPr>
        <w:pStyle w:val="24"/>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b/>
          <w:bCs/>
          <w:color w:val="auto"/>
          <w:kern w:val="0"/>
          <w:sz w:val="24"/>
          <w:szCs w:val="24"/>
          <w:highlight w:val="none"/>
        </w:rPr>
        <w:t>采购最高限价</w:t>
      </w:r>
    </w:p>
    <w:p w14:paraId="01C976CF">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人民币</w:t>
      </w:r>
      <w:r>
        <w:rPr>
          <w:rFonts w:hint="eastAsia" w:ascii="宋体" w:hAnsi="宋体" w:cs="宋体"/>
          <w:color w:val="auto"/>
          <w:kern w:val="0"/>
          <w:sz w:val="24"/>
          <w:szCs w:val="24"/>
          <w:highlight w:val="none"/>
          <w:lang w:val="en-US" w:eastAsia="zh-CN"/>
        </w:rPr>
        <w:t>48204.00元</w:t>
      </w:r>
      <w:r>
        <w:rPr>
          <w:rFonts w:hint="eastAsia" w:ascii="宋体" w:hAnsi="宋体" w:cs="宋体"/>
          <w:color w:val="auto"/>
          <w:kern w:val="0"/>
          <w:sz w:val="24"/>
          <w:szCs w:val="24"/>
          <w:highlight w:val="none"/>
        </w:rPr>
        <w:t>，大写：</w:t>
      </w:r>
      <w:r>
        <w:rPr>
          <w:rFonts w:hint="eastAsia" w:ascii="宋体" w:hAnsi="宋体" w:cs="宋体"/>
          <w:color w:val="auto"/>
          <w:kern w:val="0"/>
          <w:sz w:val="24"/>
          <w:szCs w:val="24"/>
          <w:highlight w:val="none"/>
          <w:lang w:val="en-US" w:eastAsia="zh-CN"/>
        </w:rPr>
        <w:t>肆万捌仟贰佰零肆元整</w:t>
      </w:r>
      <w:r>
        <w:rPr>
          <w:rFonts w:hint="eastAsia" w:ascii="宋体" w:hAnsi="宋体" w:cs="宋体"/>
          <w:color w:val="auto"/>
          <w:kern w:val="0"/>
          <w:sz w:val="24"/>
          <w:szCs w:val="24"/>
          <w:highlight w:val="none"/>
        </w:rPr>
        <w:t>。</w:t>
      </w:r>
    </w:p>
    <w:p w14:paraId="530F80B4">
      <w:pPr>
        <w:pageBreakBefore w:val="0"/>
        <w:widowControl/>
        <w:shd w:val="clear" w:color="auto" w:fill="FFFFFF"/>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三、技术要求</w:t>
      </w:r>
    </w:p>
    <w:p w14:paraId="0789F98B">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bidi="ar-SA"/>
        </w:rPr>
        <w:t>服务要求</w:t>
      </w:r>
    </w:p>
    <w:p w14:paraId="51CED473">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供应商需要将</w:t>
      </w:r>
      <w:r>
        <w:rPr>
          <w:rFonts w:hint="eastAsia" w:ascii="宋体" w:hAnsi="宋体" w:cs="宋体"/>
          <w:color w:val="auto"/>
          <w:kern w:val="0"/>
          <w:sz w:val="24"/>
          <w:szCs w:val="24"/>
          <w:highlight w:val="none"/>
          <w:lang w:val="en-US" w:eastAsia="zh-CN" w:bidi="ar-SA"/>
        </w:rPr>
        <w:t>财务</w:t>
      </w:r>
      <w:r>
        <w:rPr>
          <w:rFonts w:hint="eastAsia" w:ascii="宋体" w:hAnsi="宋体" w:eastAsia="宋体" w:cs="宋体"/>
          <w:color w:val="auto"/>
          <w:kern w:val="0"/>
          <w:sz w:val="24"/>
          <w:szCs w:val="24"/>
          <w:highlight w:val="none"/>
          <w:lang w:val="en-US" w:eastAsia="zh-CN" w:bidi="ar-SA"/>
        </w:rPr>
        <w:t>资料整理后进行扫描，</w:t>
      </w:r>
      <w:r>
        <w:rPr>
          <w:rFonts w:hint="eastAsia" w:ascii="宋体" w:hAnsi="宋体" w:cs="宋体"/>
          <w:color w:val="auto"/>
          <w:kern w:val="0"/>
          <w:sz w:val="24"/>
          <w:szCs w:val="24"/>
          <w:highlight w:val="none"/>
          <w:lang w:val="en-US" w:eastAsia="zh-CN" w:bidi="ar-SA"/>
        </w:rPr>
        <w:t>并按照财务资料管理要求进行分类存储，</w:t>
      </w:r>
      <w:r>
        <w:rPr>
          <w:rFonts w:hint="eastAsia" w:ascii="宋体" w:hAnsi="宋体" w:eastAsia="宋体" w:cs="宋体"/>
          <w:color w:val="auto"/>
          <w:kern w:val="0"/>
          <w:sz w:val="24"/>
          <w:szCs w:val="24"/>
          <w:highlight w:val="none"/>
          <w:lang w:val="en-US" w:eastAsia="zh-CN" w:bidi="ar-SA"/>
        </w:rPr>
        <w:t>做到纸质文件资料和扫描</w:t>
      </w:r>
      <w:r>
        <w:rPr>
          <w:rFonts w:hint="eastAsia" w:ascii="宋体" w:hAnsi="宋体" w:cs="宋体"/>
          <w:color w:val="auto"/>
          <w:kern w:val="0"/>
          <w:sz w:val="24"/>
          <w:szCs w:val="24"/>
          <w:highlight w:val="none"/>
          <w:lang w:val="en-US" w:eastAsia="zh-CN" w:bidi="ar-SA"/>
        </w:rPr>
        <w:t>资料</w:t>
      </w:r>
      <w:r>
        <w:rPr>
          <w:rFonts w:hint="eastAsia" w:ascii="宋体" w:hAnsi="宋体" w:eastAsia="宋体" w:cs="宋体"/>
          <w:color w:val="auto"/>
          <w:kern w:val="0"/>
          <w:sz w:val="24"/>
          <w:szCs w:val="24"/>
          <w:highlight w:val="none"/>
          <w:lang w:val="en-US" w:eastAsia="zh-CN" w:bidi="ar-SA"/>
        </w:rPr>
        <w:t>一一对应。</w:t>
      </w:r>
    </w:p>
    <w:p w14:paraId="055C73DC">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（1）资料扫描</w:t>
      </w:r>
    </w:p>
    <w:p w14:paraId="6D84A61C">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1）保证资料实体安全，无丢失、无损毁、无差错；</w:t>
      </w:r>
    </w:p>
    <w:p w14:paraId="64494844">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2）保证资料信息的安全，保守资料信息秘密；</w:t>
      </w:r>
    </w:p>
    <w:p w14:paraId="0EC701A6">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3）扫描资料的完整性、准确性；</w:t>
      </w:r>
    </w:p>
    <w:p w14:paraId="0EF6791C">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4）扫描资料与实体</w:t>
      </w:r>
      <w:r>
        <w:rPr>
          <w:rFonts w:hint="eastAsia" w:ascii="宋体" w:hAnsi="宋体" w:cs="宋体"/>
          <w:color w:val="auto"/>
          <w:kern w:val="0"/>
          <w:sz w:val="24"/>
          <w:szCs w:val="24"/>
          <w:highlight w:val="none"/>
          <w:lang w:val="en-US" w:eastAsia="zh-CN" w:bidi="ar-SA"/>
        </w:rPr>
        <w:t>文件</w:t>
      </w:r>
      <w:r>
        <w:rPr>
          <w:rFonts w:hint="eastAsia" w:ascii="宋体" w:hAnsi="宋体" w:eastAsia="宋体" w:cs="宋体"/>
          <w:color w:val="auto"/>
          <w:kern w:val="0"/>
          <w:sz w:val="24"/>
          <w:szCs w:val="24"/>
          <w:highlight w:val="none"/>
          <w:lang w:val="en-US" w:eastAsia="zh-CN" w:bidi="ar-SA"/>
        </w:rPr>
        <w:t>完全一致；</w:t>
      </w:r>
    </w:p>
    <w:p w14:paraId="73E2DDCC">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5）目录数据真实、准确、完整；</w:t>
      </w:r>
    </w:p>
    <w:p w14:paraId="674743BA">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6）对</w:t>
      </w:r>
      <w:r>
        <w:rPr>
          <w:rFonts w:hint="eastAsia" w:ascii="宋体" w:hAnsi="宋体" w:cs="宋体"/>
          <w:color w:val="auto"/>
          <w:kern w:val="0"/>
          <w:sz w:val="24"/>
          <w:szCs w:val="24"/>
          <w:highlight w:val="none"/>
          <w:lang w:val="en-US" w:eastAsia="zh-CN" w:bidi="ar-SA"/>
        </w:rPr>
        <w:t>资料</w:t>
      </w:r>
      <w:r>
        <w:rPr>
          <w:rFonts w:hint="eastAsia" w:ascii="宋体" w:hAnsi="宋体" w:eastAsia="宋体" w:cs="宋体"/>
          <w:color w:val="auto"/>
          <w:kern w:val="0"/>
          <w:sz w:val="24"/>
          <w:szCs w:val="24"/>
          <w:highlight w:val="none"/>
          <w:lang w:val="en-US" w:eastAsia="zh-CN" w:bidi="ar-SA"/>
        </w:rPr>
        <w:t>所有正文页进行扫描；</w:t>
      </w:r>
    </w:p>
    <w:p w14:paraId="61340621">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7）文件格式：扫描图像文件存储采用</w:t>
      </w:r>
      <w:r>
        <w:rPr>
          <w:rFonts w:hint="eastAsia" w:ascii="宋体" w:hAnsi="宋体" w:cs="宋体"/>
          <w:color w:val="auto"/>
          <w:kern w:val="0"/>
          <w:sz w:val="24"/>
          <w:szCs w:val="24"/>
          <w:highlight w:val="none"/>
          <w:lang w:val="en-US" w:eastAsia="zh-CN" w:bidi="ar-SA"/>
        </w:rPr>
        <w:t>PDF</w:t>
      </w:r>
      <w:r>
        <w:rPr>
          <w:rFonts w:hint="eastAsia" w:ascii="宋体" w:hAnsi="宋体" w:eastAsia="宋体" w:cs="宋体"/>
          <w:color w:val="auto"/>
          <w:kern w:val="0"/>
          <w:sz w:val="24"/>
          <w:szCs w:val="24"/>
          <w:highlight w:val="none"/>
          <w:lang w:val="en-US" w:eastAsia="zh-CN" w:bidi="ar-SA"/>
        </w:rPr>
        <w:t>格式；</w:t>
      </w:r>
    </w:p>
    <w:p w14:paraId="22AC69A9">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8）文件</w:t>
      </w:r>
      <w:r>
        <w:rPr>
          <w:rFonts w:hint="eastAsia" w:ascii="宋体" w:hAnsi="宋体" w:cs="宋体"/>
          <w:color w:val="auto"/>
          <w:kern w:val="0"/>
          <w:sz w:val="24"/>
          <w:szCs w:val="24"/>
          <w:highlight w:val="none"/>
          <w:lang w:val="en-US" w:eastAsia="zh-CN" w:bidi="ar-SA"/>
        </w:rPr>
        <w:t>资料</w:t>
      </w:r>
      <w:r>
        <w:rPr>
          <w:rFonts w:hint="eastAsia" w:ascii="宋体" w:hAnsi="宋体" w:eastAsia="宋体" w:cs="宋体"/>
          <w:color w:val="auto"/>
          <w:kern w:val="0"/>
          <w:sz w:val="24"/>
          <w:szCs w:val="24"/>
          <w:highlight w:val="none"/>
          <w:lang w:val="en-US" w:eastAsia="zh-CN" w:bidi="ar-SA"/>
        </w:rPr>
        <w:t>分辨率300DPI，采用彩色扫描模式；</w:t>
      </w:r>
    </w:p>
    <w:p w14:paraId="51A85FCE">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9）扫描不能缺卷、缺页、夹页、粘页，每页的图像文件必须完整、清晰（不能失真），不能偏斜；</w:t>
      </w:r>
    </w:p>
    <w:p w14:paraId="78E50EC1">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10）图像必须去污处理，即清除扫描产生的污点、黑边等；去污过程中，不能删除资料内容信息。</w:t>
      </w:r>
    </w:p>
    <w:p w14:paraId="135B2407">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11）图像必须纠斜纠偏，以图像内容为准，歪斜小于1.0度；内容方向符合阅读习惯；</w:t>
      </w:r>
    </w:p>
    <w:p w14:paraId="64BCEF69">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12）装订时按照复原性要求装订；</w:t>
      </w:r>
    </w:p>
    <w:p w14:paraId="624D17B5">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）扫描时以页为单位，以A4幅面纸张为标准，超过A4幅面的折算成A4幅面；</w:t>
      </w:r>
    </w:p>
    <w:p w14:paraId="19F0C893">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）根据实体资料幅面的大小选择相应规格的扫描设备进行扫描，超过A0幅面的资料分幅扫描。分幅扫描后的成果命名规则中的页码不变，并使用加页规则命名。</w:t>
      </w:r>
    </w:p>
    <w:p w14:paraId="1849FAD2">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扫描</w:t>
      </w:r>
      <w:r>
        <w:rPr>
          <w:rFonts w:hint="eastAsia" w:ascii="宋体" w:hAnsi="宋体" w:eastAsia="宋体" w:cs="宋体"/>
          <w:color w:val="auto"/>
          <w:kern w:val="0"/>
          <w:sz w:val="24"/>
          <w:szCs w:val="24"/>
          <w:highlight w:val="none"/>
          <w:lang w:val="en-US" w:eastAsia="zh-CN" w:bidi="ar-SA"/>
        </w:rPr>
        <w:t>后的成果能实现关键词查询等资料信息利用功能；</w:t>
      </w:r>
    </w:p>
    <w:p w14:paraId="3D77DBB0">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）资料移交。</w:t>
      </w:r>
    </w:p>
    <w:p w14:paraId="7CD87B4A">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扫描服务完成后，</w:t>
      </w:r>
      <w:r>
        <w:rPr>
          <w:rFonts w:hint="eastAsia" w:ascii="宋体" w:hAnsi="宋体" w:cs="宋体"/>
          <w:color w:val="auto"/>
          <w:kern w:val="0"/>
          <w:sz w:val="24"/>
          <w:szCs w:val="24"/>
          <w:highlight w:val="none"/>
          <w:lang w:val="en-US" w:eastAsia="zh-CN" w:bidi="ar-SA"/>
        </w:rPr>
        <w:t>我院</w:t>
      </w:r>
      <w:r>
        <w:rPr>
          <w:rFonts w:hint="eastAsia" w:ascii="宋体" w:hAnsi="宋体" w:eastAsia="宋体" w:cs="宋体"/>
          <w:color w:val="auto"/>
          <w:kern w:val="0"/>
          <w:sz w:val="24"/>
          <w:szCs w:val="24"/>
          <w:highlight w:val="none"/>
          <w:lang w:val="en-US" w:eastAsia="zh-CN" w:bidi="ar-SA"/>
        </w:rPr>
        <w:t>按照服务要求进行抽检，抽检合格的，作为支付服务费的依据；检查或抽检不合格的全部退回供应商整改，整改涉及的工作量由供应商自行承担。</w:t>
      </w:r>
    </w:p>
    <w:p w14:paraId="042A6B73">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成果提交</w:t>
      </w:r>
    </w:p>
    <w:p w14:paraId="0FBF626D">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乙方完成本次财务档案整理工作须编制并提交《重庆市文物考古研究院XXXX财务档案整理工作报告》1份（纸质盖章版1份、PDF电子版本1份，电子版本须与纸质版完全一致）。报告须兼具完整性、真实性和建设性建议及参考，不仅要全面梳理本次档案整理工作的核心情况，更需结合本次整理过程中发现的问题、积累的经验，为甲方后续档案规范化管理、档案资源开发利用、归档流程优化、档案风险防控等工作提供可靠的依据和实践参考，助力甲方建立科学、长效的档案管理体系。</w:t>
      </w:r>
    </w:p>
    <w:p w14:paraId="0C0AF7E9">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其他</w:t>
      </w:r>
    </w:p>
    <w:p w14:paraId="156D1FD5">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硬件要求</w:t>
      </w:r>
    </w:p>
    <w:p w14:paraId="44C7DE63">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本项目所需扫描工具全部由供应商自行提供，以满足扫描处理要求。</w:t>
      </w:r>
    </w:p>
    <w:p w14:paraId="67E1F0D5">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场地要求</w:t>
      </w:r>
    </w:p>
    <w:p w14:paraId="251F169A">
      <w:pPr>
        <w:pStyle w:val="11"/>
        <w:keepNext w:val="0"/>
        <w:keepLines w:val="0"/>
        <w:pageBreakBefore w:val="0"/>
        <w:widowControl/>
        <w:suppressLineNumbers w:val="0"/>
        <w:kinsoku/>
        <w:wordWrap/>
        <w:overflowPunct/>
        <w:topLinePunct w:val="0"/>
        <w:bidi w:val="0"/>
        <w:adjustRightInd w:val="0"/>
        <w:snapToGrid w:val="0"/>
        <w:spacing w:beforeAutospacing="0" w:afterAutospacing="0" w:line="288" w:lineRule="auto"/>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资料扫描和录入必须在</w:t>
      </w:r>
      <w:r>
        <w:rPr>
          <w:rFonts w:hint="eastAsia" w:ascii="宋体" w:hAnsi="宋体" w:cs="宋体"/>
          <w:color w:val="auto"/>
          <w:kern w:val="0"/>
          <w:sz w:val="24"/>
          <w:szCs w:val="24"/>
          <w:highlight w:val="none"/>
          <w:lang w:val="en-US" w:eastAsia="zh-CN" w:bidi="ar-SA"/>
        </w:rPr>
        <w:t>我院</w:t>
      </w:r>
      <w:r>
        <w:rPr>
          <w:rFonts w:hint="eastAsia" w:ascii="宋体" w:hAnsi="宋体" w:eastAsia="宋体" w:cs="宋体"/>
          <w:color w:val="auto"/>
          <w:kern w:val="0"/>
          <w:sz w:val="24"/>
          <w:szCs w:val="24"/>
          <w:highlight w:val="none"/>
          <w:lang w:val="en-US" w:eastAsia="zh-CN" w:bidi="ar-SA"/>
        </w:rPr>
        <w:t>指定工作场所内进行，未经</w:t>
      </w:r>
      <w:r>
        <w:rPr>
          <w:rFonts w:hint="eastAsia" w:ascii="宋体" w:hAnsi="宋体" w:cs="宋体"/>
          <w:color w:val="auto"/>
          <w:kern w:val="0"/>
          <w:sz w:val="24"/>
          <w:szCs w:val="24"/>
          <w:highlight w:val="none"/>
          <w:lang w:val="en-US" w:eastAsia="zh-CN" w:bidi="ar-SA"/>
        </w:rPr>
        <w:t>我院</w:t>
      </w:r>
      <w:r>
        <w:rPr>
          <w:rFonts w:hint="eastAsia" w:ascii="宋体" w:hAnsi="宋体" w:eastAsia="宋体" w:cs="宋体"/>
          <w:color w:val="auto"/>
          <w:kern w:val="0"/>
          <w:sz w:val="24"/>
          <w:szCs w:val="24"/>
          <w:highlight w:val="none"/>
          <w:lang w:val="en-US" w:eastAsia="zh-CN" w:bidi="ar-SA"/>
        </w:rPr>
        <w:t>允许，任何文件</w:t>
      </w:r>
      <w:r>
        <w:rPr>
          <w:rFonts w:hint="eastAsia" w:ascii="宋体" w:hAnsi="宋体" w:cs="宋体"/>
          <w:color w:val="auto"/>
          <w:kern w:val="0"/>
          <w:sz w:val="24"/>
          <w:szCs w:val="24"/>
          <w:highlight w:val="none"/>
          <w:lang w:val="en-US" w:eastAsia="zh-CN" w:bidi="ar-SA"/>
        </w:rPr>
        <w:t>资料</w:t>
      </w:r>
      <w:r>
        <w:rPr>
          <w:rFonts w:hint="eastAsia" w:ascii="宋体" w:hAnsi="宋体" w:eastAsia="宋体" w:cs="宋体"/>
          <w:color w:val="auto"/>
          <w:kern w:val="0"/>
          <w:sz w:val="24"/>
          <w:szCs w:val="24"/>
          <w:highlight w:val="none"/>
          <w:lang w:val="en-US" w:eastAsia="zh-CN" w:bidi="ar-SA"/>
        </w:rPr>
        <w:t>不得带出场外</w:t>
      </w:r>
      <w:r>
        <w:rPr>
          <w:rFonts w:hint="eastAsia" w:ascii="宋体" w:hAnsi="宋体" w:cs="宋体"/>
          <w:color w:val="auto"/>
          <w:kern w:val="0"/>
          <w:sz w:val="24"/>
          <w:szCs w:val="24"/>
          <w:highlight w:val="none"/>
          <w:lang w:val="en-US" w:eastAsia="zh-CN" w:bidi="ar-SA"/>
        </w:rPr>
        <w:t>。</w:t>
      </w:r>
    </w:p>
    <w:p w14:paraId="2347BAFC">
      <w:pPr>
        <w:pageBreakBefore w:val="0"/>
        <w:widowControl/>
        <w:shd w:val="clear" w:color="auto" w:fill="FFFFFF"/>
        <w:kinsoku/>
        <w:wordWrap/>
        <w:overflowPunct/>
        <w:topLinePunct w:val="0"/>
        <w:bidi w:val="0"/>
        <w:adjustRightInd w:val="0"/>
        <w:snapToGrid w:val="0"/>
        <w:spacing w:beforeAutospacing="0" w:afterAutospacing="0" w:line="288" w:lineRule="auto"/>
        <w:ind w:left="238" w:leftChars="85"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65C64D58">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35DBB21E">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1D18BA6F">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6139E488">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FF2808E">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5.参与政府采购活动前三年，在经营过程中无重大违法记录；</w:t>
      </w:r>
    </w:p>
    <w:p w14:paraId="13759B53">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25449AA6">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7.特定资格条件：</w:t>
      </w:r>
      <w:r>
        <w:rPr>
          <w:rFonts w:hint="eastAsia" w:ascii="宋体" w:hAnsi="宋体" w:cs="宋体"/>
          <w:color w:val="auto"/>
          <w:sz w:val="24"/>
          <w:szCs w:val="24"/>
          <w:highlight w:val="none"/>
          <w:lang w:val="en-US" w:eastAsia="zh-CN"/>
        </w:rPr>
        <w:t>无</w:t>
      </w:r>
    </w:p>
    <w:p w14:paraId="23FEB0EC">
      <w:pPr>
        <w:pageBreakBefore w:val="0"/>
        <w:widowControl/>
        <w:shd w:val="clear" w:color="auto" w:fill="FFFFFF"/>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0CCEA9E7">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1.服务周期</w:t>
      </w:r>
    </w:p>
    <w:p w14:paraId="3932A9C7">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90</w:t>
      </w:r>
      <w:r>
        <w:rPr>
          <w:rFonts w:hint="eastAsia" w:ascii="宋体" w:hAnsi="宋体" w:cs="宋体"/>
          <w:color w:val="auto"/>
          <w:kern w:val="0"/>
          <w:sz w:val="24"/>
          <w:szCs w:val="24"/>
          <w:highlight w:val="none"/>
        </w:rPr>
        <w:t>日内完成全部</w:t>
      </w:r>
      <w:r>
        <w:rPr>
          <w:rFonts w:hint="eastAsia" w:ascii="宋体" w:hAnsi="宋体" w:cs="宋体"/>
          <w:color w:val="auto"/>
          <w:kern w:val="0"/>
          <w:sz w:val="24"/>
          <w:szCs w:val="24"/>
          <w:highlight w:val="none"/>
          <w:lang w:val="en-US" w:eastAsia="zh-CN"/>
        </w:rPr>
        <w:t>工作，并</w:t>
      </w:r>
      <w:r>
        <w:rPr>
          <w:rFonts w:hint="eastAsia" w:ascii="宋体" w:hAnsi="宋体" w:cs="宋体"/>
          <w:color w:val="auto"/>
          <w:kern w:val="0"/>
          <w:sz w:val="24"/>
          <w:szCs w:val="24"/>
          <w:highlight w:val="none"/>
        </w:rPr>
        <w:t>通过我院验收。</w:t>
      </w:r>
    </w:p>
    <w:p w14:paraId="7CBCEC0E">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2.服务地点</w:t>
      </w:r>
    </w:p>
    <w:p w14:paraId="178B6C36">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服务地点：</w:t>
      </w:r>
      <w:r>
        <w:rPr>
          <w:rFonts w:hint="eastAsia" w:ascii="宋体" w:hAnsi="宋体" w:cs="宋体"/>
          <w:color w:val="auto"/>
          <w:sz w:val="24"/>
          <w:szCs w:val="24"/>
          <w:highlight w:val="none"/>
        </w:rPr>
        <w:t>我院</w:t>
      </w:r>
      <w:r>
        <w:rPr>
          <w:rFonts w:hint="eastAsia" w:ascii="宋体" w:hAnsi="宋体" w:cs="宋体"/>
          <w:color w:val="auto"/>
          <w:kern w:val="0"/>
          <w:sz w:val="24"/>
          <w:szCs w:val="24"/>
          <w:highlight w:val="none"/>
        </w:rPr>
        <w:t>指定地点。</w:t>
      </w:r>
    </w:p>
    <w:p w14:paraId="262E456A">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3.验收方式：</w:t>
      </w:r>
    </w:p>
    <w:p w14:paraId="680555FD">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通过甲方组织的验收。</w:t>
      </w:r>
    </w:p>
    <w:p w14:paraId="59EA6ED2">
      <w:pPr>
        <w:pageBreakBefore w:val="0"/>
        <w:widowControl/>
        <w:shd w:val="clear" w:color="auto" w:fill="FFFFFF"/>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217A337F">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1.报价要求：</w:t>
      </w:r>
    </w:p>
    <w:p w14:paraId="017D4925">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highlight w:val="none"/>
        </w:rPr>
        <w:t>我院</w:t>
      </w:r>
      <w:r>
        <w:rPr>
          <w:rFonts w:hint="eastAsia" w:ascii="宋体" w:hAnsi="宋体" w:cs="宋体"/>
          <w:color w:val="auto"/>
          <w:kern w:val="0"/>
          <w:sz w:val="24"/>
          <w:szCs w:val="24"/>
          <w:highlight w:val="none"/>
        </w:rPr>
        <w:t>不再补偿。</w:t>
      </w:r>
    </w:p>
    <w:p w14:paraId="715145BE">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2.成交原则</w:t>
      </w:r>
    </w:p>
    <w:p w14:paraId="5C75E869">
      <w:pPr>
        <w:pageBreakBefore w:val="0"/>
        <w:widowControl/>
        <w:shd w:val="clear" w:color="auto" w:fill="FFFFFF"/>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在符合本次采购要求、质量和服务的前提下，按</w:t>
      </w:r>
      <w:r>
        <w:rPr>
          <w:rFonts w:hint="eastAsia" w:ascii="宋体" w:hAnsi="宋体" w:cs="宋体"/>
          <w:color w:val="auto"/>
          <w:sz w:val="24"/>
          <w:szCs w:val="24"/>
          <w:highlight w:val="none"/>
          <w:lang w:val="en-US" w:eastAsia="zh-CN"/>
        </w:rPr>
        <w:t>综合评分</w:t>
      </w:r>
      <w:r>
        <w:rPr>
          <w:rFonts w:hint="eastAsia" w:ascii="宋体" w:hAnsi="宋体" w:cs="宋体"/>
          <w:color w:val="auto"/>
          <w:sz w:val="24"/>
          <w:szCs w:val="24"/>
          <w:highlight w:val="none"/>
        </w:rPr>
        <w:t>法确定成交供应商。</w:t>
      </w:r>
    </w:p>
    <w:p w14:paraId="10F7485B">
      <w:pPr>
        <w:pStyle w:val="25"/>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3.评审标准</w:t>
      </w:r>
    </w:p>
    <w:p w14:paraId="533E5494">
      <w:pPr>
        <w:pageBreakBefore w:val="0"/>
        <w:kinsoku/>
        <w:wordWrap/>
        <w:overflowPunct/>
        <w:topLinePunct w:val="0"/>
        <w:bidi w:val="0"/>
        <w:adjustRightInd w:val="0"/>
        <w:snapToGrid w:val="0"/>
        <w:spacing w:beforeAutospacing="0" w:afterAutospacing="0" w:line="288" w:lineRule="auto"/>
        <w:textAlignment w:val="auto"/>
        <w:rPr>
          <w:rFonts w:hint="eastAsia" w:hAnsi="宋体" w:cs="宋体"/>
          <w:color w:val="auto"/>
          <w:sz w:val="24"/>
          <w:szCs w:val="24"/>
          <w:highlight w:val="none"/>
          <w:lang w:val="en-US" w:eastAsia="zh-CN"/>
        </w:rPr>
      </w:pPr>
    </w:p>
    <w:tbl>
      <w:tblPr>
        <w:tblStyle w:val="14"/>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155"/>
        <w:gridCol w:w="676"/>
        <w:gridCol w:w="4536"/>
        <w:gridCol w:w="1889"/>
      </w:tblGrid>
      <w:tr w14:paraId="2D6F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22" w:type="dxa"/>
            <w:vAlign w:val="center"/>
          </w:tcPr>
          <w:p w14:paraId="50A30175">
            <w:pPr>
              <w:pageBreakBefore w:val="0"/>
              <w:kinsoku/>
              <w:wordWrap/>
              <w:overflowPunct/>
              <w:topLinePunct w:val="0"/>
              <w:bidi w:val="0"/>
              <w:adjustRightInd w:val="0"/>
              <w:snapToGrid w:val="0"/>
              <w:spacing w:beforeAutospacing="0" w:afterAutospacing="0" w:line="288" w:lineRule="auto"/>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155" w:type="dxa"/>
            <w:vAlign w:val="center"/>
          </w:tcPr>
          <w:p w14:paraId="2BBB4596">
            <w:pPr>
              <w:pageBreakBefore w:val="0"/>
              <w:kinsoku/>
              <w:wordWrap/>
              <w:overflowPunct/>
              <w:topLinePunct w:val="0"/>
              <w:bidi w:val="0"/>
              <w:adjustRightInd w:val="0"/>
              <w:snapToGrid w:val="0"/>
              <w:spacing w:beforeAutospacing="0" w:afterAutospacing="0" w:line="288" w:lineRule="auto"/>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676" w:type="dxa"/>
            <w:vAlign w:val="center"/>
          </w:tcPr>
          <w:p w14:paraId="647D5A4D">
            <w:pPr>
              <w:pageBreakBefore w:val="0"/>
              <w:kinsoku/>
              <w:wordWrap/>
              <w:overflowPunct/>
              <w:topLinePunct w:val="0"/>
              <w:bidi w:val="0"/>
              <w:adjustRightInd w:val="0"/>
              <w:snapToGrid w:val="0"/>
              <w:spacing w:beforeAutospacing="0" w:afterAutospacing="0" w:line="288" w:lineRule="auto"/>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536" w:type="dxa"/>
            <w:vAlign w:val="center"/>
          </w:tcPr>
          <w:p w14:paraId="630F00D6">
            <w:pPr>
              <w:pageBreakBefore w:val="0"/>
              <w:kinsoku/>
              <w:wordWrap/>
              <w:overflowPunct/>
              <w:topLinePunct w:val="0"/>
              <w:bidi w:val="0"/>
              <w:adjustRightInd w:val="0"/>
              <w:snapToGrid w:val="0"/>
              <w:spacing w:beforeAutospacing="0" w:afterAutospacing="0" w:line="288" w:lineRule="auto"/>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89" w:type="dxa"/>
            <w:vAlign w:val="center"/>
          </w:tcPr>
          <w:p w14:paraId="6A04A898">
            <w:pPr>
              <w:pageBreakBefore w:val="0"/>
              <w:kinsoku/>
              <w:wordWrap/>
              <w:overflowPunct/>
              <w:topLinePunct w:val="0"/>
              <w:bidi w:val="0"/>
              <w:adjustRightInd w:val="0"/>
              <w:snapToGrid w:val="0"/>
              <w:spacing w:beforeAutospacing="0" w:afterAutospacing="0" w:line="288" w:lineRule="auto"/>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62C9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22" w:type="dxa"/>
            <w:vAlign w:val="center"/>
          </w:tcPr>
          <w:p w14:paraId="77DDAB66">
            <w:pPr>
              <w:pageBreakBefore w:val="0"/>
              <w:kinsoku/>
              <w:wordWrap/>
              <w:overflowPunct/>
              <w:topLinePunct w:val="0"/>
              <w:bidi w:val="0"/>
              <w:adjustRightInd w:val="0"/>
              <w:snapToGrid w:val="0"/>
              <w:spacing w:beforeAutospacing="0" w:afterAutospacing="0" w:line="288" w:lineRule="auto"/>
              <w:ind w:firstLine="28"/>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55" w:type="dxa"/>
            <w:vAlign w:val="center"/>
          </w:tcPr>
          <w:p w14:paraId="14DED634">
            <w:pPr>
              <w:pageBreakBefore w:val="0"/>
              <w:kinsoku/>
              <w:wordWrap/>
              <w:overflowPunct/>
              <w:topLinePunct w:val="0"/>
              <w:bidi w:val="0"/>
              <w:adjustRightInd w:val="0"/>
              <w:snapToGrid w:val="0"/>
              <w:spacing w:beforeAutospacing="0" w:afterAutospacing="0" w:line="288"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676" w:type="dxa"/>
            <w:vAlign w:val="center"/>
          </w:tcPr>
          <w:p w14:paraId="1652D881">
            <w:pPr>
              <w:pageBreakBefore w:val="0"/>
              <w:kinsoku/>
              <w:wordWrap/>
              <w:overflowPunct/>
              <w:topLinePunct w:val="0"/>
              <w:bidi w:val="0"/>
              <w:adjustRightInd w:val="0"/>
              <w:snapToGrid w:val="0"/>
              <w:spacing w:beforeAutospacing="0" w:afterAutospacing="0" w:line="288" w:lineRule="auto"/>
              <w:ind w:firstLine="28"/>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536" w:type="dxa"/>
            <w:vAlign w:val="center"/>
          </w:tcPr>
          <w:p w14:paraId="3595F7D6">
            <w:pPr>
              <w:pageBreakBefore w:val="0"/>
              <w:kinsoku/>
              <w:wordWrap/>
              <w:overflowPunct/>
              <w:topLinePunct w:val="0"/>
              <w:bidi w:val="0"/>
              <w:adjustRightInd w:val="0"/>
              <w:snapToGrid w:val="0"/>
              <w:spacing w:beforeAutospacing="0" w:afterAutospacing="0" w:line="288"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满足资格性、符合性要求且最后报价最低的供应商的价格为磋商基准价，其价格分为满分。其他供应商的价格分统一按照下列公式计算每个供应商的报价得分。</w:t>
            </w:r>
          </w:p>
          <w:p w14:paraId="61959FA1">
            <w:pPr>
              <w:pageBreakBefore w:val="0"/>
              <w:kinsoku/>
              <w:wordWrap/>
              <w:overflowPunct/>
              <w:topLinePunct w:val="0"/>
              <w:bidi w:val="0"/>
              <w:adjustRightInd w:val="0"/>
              <w:snapToGrid w:val="0"/>
              <w:spacing w:beforeAutospacing="0" w:afterAutospacing="0" w:line="288"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1889" w:type="dxa"/>
            <w:vAlign w:val="center"/>
          </w:tcPr>
          <w:p w14:paraId="71C80D6B">
            <w:pPr>
              <w:pageBreakBefore w:val="0"/>
              <w:kinsoku/>
              <w:wordWrap/>
              <w:overflowPunct/>
              <w:topLinePunct w:val="0"/>
              <w:bidi w:val="0"/>
              <w:adjustRightInd w:val="0"/>
              <w:snapToGrid w:val="0"/>
              <w:spacing w:beforeAutospacing="0" w:afterAutospacing="0" w:line="288" w:lineRule="auto"/>
              <w:ind w:firstLine="28"/>
              <w:jc w:val="both"/>
              <w:textAlignment w:val="auto"/>
              <w:rPr>
                <w:rFonts w:hint="eastAsia" w:asciiTheme="minorEastAsia" w:hAnsiTheme="minorEastAsia" w:eastAsiaTheme="minorEastAsia" w:cstheme="minorEastAsia"/>
                <w:color w:val="auto"/>
                <w:sz w:val="21"/>
                <w:szCs w:val="21"/>
                <w:highlight w:val="none"/>
              </w:rPr>
            </w:pPr>
          </w:p>
        </w:tc>
      </w:tr>
      <w:tr w14:paraId="0E6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522" w:type="dxa"/>
            <w:vMerge w:val="restart"/>
            <w:shd w:val="clear" w:color="auto" w:fill="auto"/>
            <w:vAlign w:val="center"/>
          </w:tcPr>
          <w:p w14:paraId="3ADCE2E8">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2</w:t>
            </w:r>
          </w:p>
        </w:tc>
        <w:tc>
          <w:tcPr>
            <w:tcW w:w="1155" w:type="dxa"/>
            <w:vMerge w:val="restart"/>
            <w:shd w:val="clear" w:color="auto" w:fill="auto"/>
            <w:vAlign w:val="center"/>
          </w:tcPr>
          <w:p w14:paraId="4364A43F">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服务部分</w:t>
            </w:r>
          </w:p>
          <w:p w14:paraId="4173216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（50%）</w:t>
            </w:r>
          </w:p>
        </w:tc>
        <w:tc>
          <w:tcPr>
            <w:tcW w:w="676" w:type="dxa"/>
            <w:shd w:val="clear" w:color="auto" w:fill="auto"/>
            <w:vAlign w:val="center"/>
          </w:tcPr>
          <w:p w14:paraId="4BBA4785">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项目实施方案：（</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536" w:type="dxa"/>
            <w:shd w:val="clear" w:color="auto" w:fill="auto"/>
            <w:vAlign w:val="center"/>
          </w:tcPr>
          <w:p w14:paraId="571BC951">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内容包括</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内容、质量标准、</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周期</w:t>
            </w:r>
            <w:r>
              <w:rPr>
                <w:rFonts w:hint="eastAsia" w:asciiTheme="minorEastAsia" w:hAnsiTheme="minorEastAsia" w:eastAsiaTheme="minorEastAsia" w:cstheme="minorEastAsia"/>
                <w:color w:val="auto"/>
                <w:sz w:val="21"/>
                <w:szCs w:val="21"/>
                <w:highlight w:val="none"/>
                <w:lang w:val="en-US" w:eastAsia="zh-CN"/>
              </w:rPr>
              <w:t>控制</w:t>
            </w:r>
            <w:r>
              <w:rPr>
                <w:rFonts w:hint="eastAsia" w:asciiTheme="minorEastAsia" w:hAnsiTheme="minorEastAsia" w:eastAsiaTheme="minorEastAsia" w:cstheme="minorEastAsia"/>
                <w:color w:val="auto"/>
                <w:sz w:val="21"/>
                <w:szCs w:val="21"/>
                <w:highlight w:val="none"/>
              </w:rPr>
              <w:t>、人员安排</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；阐述内容包含上述所有内容，且对各项内容均进行描述的基础上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上述内容不存在瑕疵得</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分；每存在1个瑕疵扣</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分，扣完该项得分为止。</w:t>
            </w:r>
          </w:p>
        </w:tc>
        <w:tc>
          <w:tcPr>
            <w:tcW w:w="1889" w:type="dxa"/>
            <w:vMerge w:val="restart"/>
            <w:shd w:val="clear" w:color="auto" w:fill="auto"/>
            <w:vAlign w:val="center"/>
          </w:tcPr>
          <w:p w14:paraId="2681308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1.根据投标人提供的方案进行评分。</w:t>
            </w:r>
          </w:p>
          <w:p w14:paraId="2F81696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2.评分标准中所称的“瑕疵”指以下任意一种情形：</w:t>
            </w:r>
          </w:p>
          <w:p w14:paraId="624694B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①内容表述不完整或仅有标题而无实质意义叙述；</w:t>
            </w:r>
          </w:p>
          <w:p w14:paraId="7424C35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②计划及措施不科学合理；</w:t>
            </w:r>
          </w:p>
          <w:p w14:paraId="747E396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③内容表述前后矛盾、无连贯性、内容存在逻辑漏洞；</w:t>
            </w:r>
          </w:p>
          <w:p w14:paraId="10D7B2E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④常识性错误；</w:t>
            </w:r>
          </w:p>
          <w:p w14:paraId="114CE68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⑤措施安排并不适用本项目特性；</w:t>
            </w:r>
          </w:p>
          <w:p w14:paraId="5E37133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⑥方案中提出的措施举措不利于本项目目标的实现；</w:t>
            </w:r>
          </w:p>
          <w:p w14:paraId="67FFA5F6">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⑦现有技术条件下不可能实现采购目标。</w:t>
            </w:r>
          </w:p>
        </w:tc>
      </w:tr>
      <w:tr w14:paraId="4FBC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522" w:type="dxa"/>
            <w:vMerge w:val="continue"/>
            <w:vAlign w:val="center"/>
          </w:tcPr>
          <w:p w14:paraId="68BDD0EB">
            <w:pPr>
              <w:pageBreakBefore w:val="0"/>
              <w:kinsoku/>
              <w:wordWrap/>
              <w:overflowPunct/>
              <w:topLinePunct w:val="0"/>
              <w:bidi w:val="0"/>
              <w:adjustRightInd w:val="0"/>
              <w:snapToGrid w:val="0"/>
              <w:spacing w:beforeAutospacing="0" w:afterAutospacing="0" w:line="288"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155" w:type="dxa"/>
            <w:vMerge w:val="continue"/>
            <w:vAlign w:val="center"/>
          </w:tcPr>
          <w:p w14:paraId="3CEBDDF1">
            <w:pPr>
              <w:pageBreakBefore w:val="0"/>
              <w:kinsoku/>
              <w:wordWrap/>
              <w:overflowPunct/>
              <w:topLinePunct w:val="0"/>
              <w:bidi w:val="0"/>
              <w:adjustRightInd w:val="0"/>
              <w:snapToGrid w:val="0"/>
              <w:spacing w:beforeAutospacing="0" w:afterAutospacing="0" w:line="288" w:lineRule="auto"/>
              <w:jc w:val="both"/>
              <w:textAlignment w:val="auto"/>
              <w:rPr>
                <w:rFonts w:hint="eastAsia" w:asciiTheme="minorEastAsia" w:hAnsiTheme="minorEastAsia" w:eastAsiaTheme="minorEastAsia" w:cstheme="minorEastAsia"/>
                <w:i w:val="0"/>
                <w:iCs w:val="0"/>
                <w:color w:val="auto"/>
                <w:sz w:val="21"/>
                <w:szCs w:val="21"/>
                <w:highlight w:val="none"/>
              </w:rPr>
            </w:pPr>
          </w:p>
        </w:tc>
        <w:tc>
          <w:tcPr>
            <w:tcW w:w="676" w:type="dxa"/>
            <w:shd w:val="clear" w:color="auto" w:fill="auto"/>
            <w:vAlign w:val="center"/>
          </w:tcPr>
          <w:p w14:paraId="1A242075">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售后服务方案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20分</w:t>
            </w:r>
            <w:r>
              <w:rPr>
                <w:rFonts w:hint="eastAsia" w:asciiTheme="minorEastAsia" w:hAnsiTheme="minorEastAsia" w:eastAsiaTheme="minorEastAsia" w:cstheme="minorEastAsia"/>
                <w:color w:val="auto"/>
                <w:sz w:val="21"/>
                <w:szCs w:val="21"/>
                <w:highlight w:val="none"/>
                <w:lang w:eastAsia="zh-CN"/>
              </w:rPr>
              <w:t>）</w:t>
            </w:r>
          </w:p>
        </w:tc>
        <w:tc>
          <w:tcPr>
            <w:tcW w:w="4536" w:type="dxa"/>
            <w:shd w:val="clear" w:color="auto" w:fill="auto"/>
            <w:vAlign w:val="center"/>
          </w:tcPr>
          <w:p w14:paraId="5954A48F">
            <w:pPr>
              <w:keepNext w:val="0"/>
              <w:keepLines w:val="0"/>
              <w:pageBreakBefore w:val="0"/>
              <w:widowControl w:val="0"/>
              <w:kinsoku/>
              <w:wordWrap/>
              <w:overflowPunct/>
              <w:topLinePunct w:val="0"/>
              <w:autoSpaceDE/>
              <w:autoSpaceDN/>
              <w:bidi w:val="0"/>
              <w:adjustRightInd/>
              <w:snapToGrid/>
              <w:spacing w:line="240" w:lineRule="auto"/>
              <w:ind w:firstLine="28"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内容包括</w:t>
            </w:r>
            <w:r>
              <w:rPr>
                <w:rFonts w:hint="eastAsia" w:asciiTheme="minorEastAsia" w:hAnsiTheme="minorEastAsia" w:eastAsiaTheme="minorEastAsia" w:cstheme="minorEastAsia"/>
                <w:color w:val="auto"/>
                <w:sz w:val="21"/>
                <w:szCs w:val="21"/>
                <w:highlight w:val="none"/>
                <w:lang w:val="en-US" w:eastAsia="zh-CN"/>
              </w:rPr>
              <w:t>售后</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en-US" w:eastAsia="zh-CN"/>
              </w:rPr>
              <w:t>体系</w:t>
            </w:r>
            <w:r>
              <w:rPr>
                <w:rFonts w:hint="eastAsia" w:asciiTheme="minorEastAsia" w:hAnsiTheme="minorEastAsia" w:eastAsiaTheme="minorEastAsia" w:cstheme="minorEastAsia"/>
                <w:color w:val="auto"/>
                <w:sz w:val="21"/>
                <w:szCs w:val="21"/>
                <w:highlight w:val="none"/>
              </w:rPr>
              <w:t>、售后服务计划、应急措施</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；阐述内容包含上述所有内容，且对各项内容均进行描述的基础上，上述内容不存在瑕疵得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分；每存在1个瑕疵扣2分，扣完该项得分为止。</w:t>
            </w:r>
          </w:p>
        </w:tc>
        <w:tc>
          <w:tcPr>
            <w:tcW w:w="1889" w:type="dxa"/>
            <w:vMerge w:val="continue"/>
            <w:vAlign w:val="center"/>
          </w:tcPr>
          <w:p w14:paraId="3655C6FB">
            <w:pPr>
              <w:pageBreakBefore w:val="0"/>
              <w:kinsoku/>
              <w:wordWrap/>
              <w:overflowPunct/>
              <w:topLinePunct w:val="0"/>
              <w:bidi w:val="0"/>
              <w:adjustRightInd w:val="0"/>
              <w:snapToGrid w:val="0"/>
              <w:spacing w:beforeAutospacing="0" w:afterAutospacing="0" w:line="288" w:lineRule="auto"/>
              <w:ind w:firstLine="28"/>
              <w:jc w:val="both"/>
              <w:textAlignment w:val="auto"/>
              <w:rPr>
                <w:rFonts w:hint="eastAsia" w:asciiTheme="minorEastAsia" w:hAnsiTheme="minorEastAsia" w:eastAsiaTheme="minorEastAsia" w:cstheme="minorEastAsia"/>
                <w:color w:val="auto"/>
                <w:sz w:val="21"/>
                <w:szCs w:val="21"/>
                <w:highlight w:val="none"/>
              </w:rPr>
            </w:pPr>
          </w:p>
        </w:tc>
      </w:tr>
      <w:tr w14:paraId="58D6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522" w:type="dxa"/>
            <w:shd w:val="clear" w:color="auto" w:fill="auto"/>
            <w:vAlign w:val="center"/>
          </w:tcPr>
          <w:p w14:paraId="1C1F3F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p>
        </w:tc>
        <w:tc>
          <w:tcPr>
            <w:tcW w:w="1155" w:type="dxa"/>
            <w:shd w:val="clear" w:color="auto" w:fill="auto"/>
            <w:vAlign w:val="center"/>
          </w:tcPr>
          <w:p w14:paraId="2B0ACC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商务部分（20%）</w:t>
            </w:r>
          </w:p>
        </w:tc>
        <w:tc>
          <w:tcPr>
            <w:tcW w:w="676" w:type="dxa"/>
            <w:shd w:val="clear" w:color="auto" w:fill="auto"/>
            <w:vAlign w:val="center"/>
          </w:tcPr>
          <w:p w14:paraId="4BF19DC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业绩（20分）</w:t>
            </w:r>
          </w:p>
        </w:tc>
        <w:tc>
          <w:tcPr>
            <w:tcW w:w="0" w:type="auto"/>
            <w:shd w:val="clear" w:color="auto" w:fill="auto"/>
            <w:vAlign w:val="center"/>
          </w:tcPr>
          <w:p w14:paraId="31DC30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供应商2023年以来具备类似资料整理业绩的，每提供一个合同得5分，最高20分。</w:t>
            </w:r>
          </w:p>
        </w:tc>
        <w:tc>
          <w:tcPr>
            <w:tcW w:w="0" w:type="auto"/>
            <w:shd w:val="clear" w:color="auto" w:fill="auto"/>
            <w:vAlign w:val="center"/>
          </w:tcPr>
          <w:p w14:paraId="52ACE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提供合同复印件或中标通知书复印件、供应商为该项目开具发票的凭证复印件并加盖公章。提供不完全者不得分。</w:t>
            </w:r>
          </w:p>
        </w:tc>
      </w:tr>
    </w:tbl>
    <w:p w14:paraId="79CB5F30">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p>
    <w:p w14:paraId="22C4F95C">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说明：本项目异常低价问题参照《关于推动解决政府采购异常低价问题的通知》财库〔2026〕2号文件规定执行。</w:t>
      </w:r>
    </w:p>
    <w:p w14:paraId="1D73C1E5">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（一）政府采购异常低价问题有关事项的说明</w:t>
      </w:r>
    </w:p>
    <w:p w14:paraId="101A5E51">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1）根据《关于推动解决政府采购异常低价问题的通知》财库〔2026〕2号文件规定，政府采购评审中出现下列情形之一的，评审委员会应当启动异常低价响应审查程序：</w:t>
      </w:r>
    </w:p>
    <w:p w14:paraId="1E20791B">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①响应报价低于全部通过符合性审查供应商响应报价平均值50%的，即响应报价&lt;全部通过符合性审查供应商响应报价平均值×50%；</w:t>
      </w:r>
    </w:p>
    <w:p w14:paraId="11568E70">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②响应报价低于通过符合性审查的次低报价供应商响应报价50%的，即响应报价&lt;通过符合性审查的次低报价供应商响应报价×50%；</w:t>
      </w:r>
    </w:p>
    <w:p w14:paraId="25AA22BC">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③响应报价低于采购项目最高限价45%的，即响应报价&lt;采购项目最高限价×45%；</w:t>
      </w:r>
    </w:p>
    <w:p w14:paraId="5B73BE48">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④评审委员会基于专业判断，认为供应商报价过低，有可能影响产品质量或者不能诚信履约的其他情形。</w:t>
      </w:r>
    </w:p>
    <w:p w14:paraId="4E746326">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1EFA05A">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67012C6C">
      <w:pPr>
        <w:pStyle w:val="8"/>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b w:val="0"/>
          <w:bCs w:val="0"/>
          <w:color w:val="auto"/>
          <w:sz w:val="24"/>
          <w:szCs w:val="24"/>
          <w:highlight w:val="none"/>
        </w:rPr>
      </w:pPr>
    </w:p>
    <w:p w14:paraId="00F8CB2E">
      <w:pPr>
        <w:pStyle w:val="8"/>
        <w:pageBreakBefore w:val="0"/>
        <w:kinsoku/>
        <w:wordWrap/>
        <w:overflowPunct/>
        <w:topLinePunct w:val="0"/>
        <w:bidi w:val="0"/>
        <w:adjustRightInd w:val="0"/>
        <w:snapToGrid w:val="0"/>
        <w:spacing w:beforeAutospacing="0" w:afterAutospacing="0" w:line="288"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24B8D845">
      <w:pPr>
        <w:pStyle w:val="8"/>
        <w:pageBreakBefore w:val="0"/>
        <w:kinsoku/>
        <w:wordWrap/>
        <w:overflowPunct/>
        <w:topLinePunct w:val="0"/>
        <w:bidi w:val="0"/>
        <w:adjustRightInd w:val="0"/>
        <w:snapToGrid w:val="0"/>
        <w:spacing w:beforeAutospacing="0" w:afterAutospacing="0" w:line="288" w:lineRule="auto"/>
        <w:ind w:left="238" w:leftChars="85"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1.报价文件一式</w:t>
      </w:r>
      <w:r>
        <w:rPr>
          <w:rFonts w:hint="eastAsia" w:ascii="宋体" w:hAnsi="宋体" w:cs="宋体"/>
          <w:color w:val="auto"/>
          <w:sz w:val="24"/>
          <w:szCs w:val="24"/>
          <w:highlight w:val="none"/>
          <w:lang w:val="en-US" w:eastAsia="zh-CN"/>
        </w:rPr>
        <w:t>二份</w:t>
      </w:r>
      <w:r>
        <w:rPr>
          <w:rFonts w:hint="eastAsia" w:ascii="宋体" w:hAnsi="宋体" w:cs="宋体"/>
          <w:color w:val="auto"/>
          <w:sz w:val="24"/>
          <w:szCs w:val="24"/>
          <w:highlight w:val="none"/>
        </w:rPr>
        <w:t>。其中正本一份，副本一份，副本可为正本的复印件，应与正本一致，如出现不一致情况以正本为准</w:t>
      </w:r>
      <w:r>
        <w:rPr>
          <w:rFonts w:hint="eastAsia" w:ascii="宋体" w:hAnsi="宋体" w:cs="宋体"/>
          <w:color w:val="auto"/>
          <w:sz w:val="24"/>
          <w:szCs w:val="24"/>
          <w:highlight w:val="none"/>
          <w:lang w:eastAsia="zh-CN"/>
        </w:rPr>
        <w:t>。</w:t>
      </w:r>
    </w:p>
    <w:p w14:paraId="5F241500">
      <w:pPr>
        <w:pStyle w:val="8"/>
        <w:pageBreakBefore w:val="0"/>
        <w:kinsoku/>
        <w:wordWrap/>
        <w:overflowPunct/>
        <w:topLinePunct w:val="0"/>
        <w:bidi w:val="0"/>
        <w:adjustRightInd w:val="0"/>
        <w:snapToGrid w:val="0"/>
        <w:spacing w:beforeAutospacing="0" w:afterAutospacing="0" w:line="288" w:lineRule="auto"/>
        <w:ind w:left="238" w:leftChars="85"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2.在报价文件中规定签署、盖章的地方必须按其规定签署、盖章。否则视为无效报价。</w:t>
      </w:r>
    </w:p>
    <w:p w14:paraId="720F9477">
      <w:pPr>
        <w:pageBreakBefore w:val="0"/>
        <w:widowControl/>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4F729618">
      <w:pPr>
        <w:pageBreakBefore w:val="0"/>
        <w:widowControl/>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采购人在10个工作日内，向成交供应商支付合同总金额30%作为项目启动经费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成交供应商完成</w:t>
      </w:r>
      <w:r>
        <w:rPr>
          <w:rFonts w:hint="eastAsia" w:ascii="宋体" w:hAnsi="宋体" w:cs="宋体"/>
          <w:color w:val="auto"/>
          <w:kern w:val="0"/>
          <w:sz w:val="24"/>
          <w:szCs w:val="24"/>
          <w:highlight w:val="none"/>
        </w:rPr>
        <w:t>全部工作，</w:t>
      </w:r>
      <w:r>
        <w:rPr>
          <w:rFonts w:hint="eastAsia" w:ascii="宋体" w:hAnsi="宋体" w:cs="宋体"/>
          <w:color w:val="auto"/>
          <w:sz w:val="24"/>
          <w:szCs w:val="24"/>
          <w:highlight w:val="none"/>
        </w:rPr>
        <w:t>根据我院意见修改并</w:t>
      </w:r>
      <w:r>
        <w:rPr>
          <w:rFonts w:hint="eastAsia" w:ascii="宋体" w:hAnsi="宋体" w:cs="宋体"/>
          <w:color w:val="auto"/>
          <w:kern w:val="0"/>
          <w:sz w:val="24"/>
          <w:szCs w:val="24"/>
          <w:highlight w:val="none"/>
        </w:rPr>
        <w:t>通过我院验收</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10个工作日内我院</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剩下的</w:t>
      </w:r>
      <w:r>
        <w:rPr>
          <w:rFonts w:hint="eastAsia" w:ascii="宋体" w:hAnsi="宋体" w:cs="宋体"/>
          <w:color w:val="auto"/>
          <w:kern w:val="0"/>
          <w:sz w:val="24"/>
          <w:szCs w:val="24"/>
          <w:highlight w:val="none"/>
          <w:lang w:val="en-US" w:eastAsia="zh-CN"/>
        </w:rPr>
        <w:t>全部</w:t>
      </w:r>
      <w:r>
        <w:rPr>
          <w:rFonts w:hint="eastAsia" w:ascii="宋体" w:hAnsi="宋体" w:cs="宋体"/>
          <w:color w:val="auto"/>
          <w:kern w:val="0"/>
          <w:sz w:val="24"/>
          <w:szCs w:val="24"/>
          <w:highlight w:val="none"/>
        </w:rPr>
        <w:t>工作经费</w:t>
      </w:r>
      <w:r>
        <w:rPr>
          <w:rFonts w:hint="eastAsia" w:ascii="宋体" w:hAnsi="宋体" w:cs="宋体"/>
          <w:color w:val="auto"/>
          <w:sz w:val="24"/>
          <w:szCs w:val="24"/>
          <w:highlight w:val="none"/>
        </w:rPr>
        <w:t>。</w:t>
      </w:r>
    </w:p>
    <w:p w14:paraId="188DE2B3">
      <w:pPr>
        <w:pageBreakBefore w:val="0"/>
        <w:widowControl/>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成交供应商应在我院支付经费之前提供有效的票据，且成交供应商严格按照我院要求和格式提交相关资料，否则我院有权拒绝支付相关费用。</w:t>
      </w:r>
    </w:p>
    <w:p w14:paraId="12DDDCE2">
      <w:pPr>
        <w:pageBreakBefore w:val="0"/>
        <w:widowControl/>
        <w:shd w:val="clear" w:color="auto" w:fill="FFFFFF"/>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p>
    <w:p w14:paraId="3F833848">
      <w:pPr>
        <w:pageBreakBefore w:val="0"/>
        <w:widowControl/>
        <w:kinsoku/>
        <w:wordWrap/>
        <w:overflowPunct/>
        <w:topLinePunct w:val="0"/>
        <w:bidi w:val="0"/>
        <w:adjustRightInd w:val="0"/>
        <w:snapToGrid w:val="0"/>
        <w:spacing w:beforeAutospacing="0" w:afterAutospacing="0" w:line="288" w:lineRule="auto"/>
        <w:ind w:firstLine="482" w:firstLineChars="200"/>
        <w:jc w:val="left"/>
        <w:textAlignment w:val="auto"/>
        <w:rPr>
          <w:rFonts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rPr>
        <w:t>报价文件密封后（在密封袋上注明项目名称）</w:t>
      </w:r>
      <w:r>
        <w:rPr>
          <w:rFonts w:hint="eastAsia" w:ascii="宋体" w:hAnsi="宋体" w:cs="宋体"/>
          <w:b/>
          <w:bCs/>
          <w:color w:val="auto"/>
          <w:sz w:val="24"/>
          <w:szCs w:val="24"/>
        </w:rPr>
        <w:t>请于</w:t>
      </w:r>
      <w:r>
        <w:rPr>
          <w:rFonts w:hint="eastAsia" w:ascii="宋体" w:hAnsi="宋体" w:cs="宋体"/>
          <w:b/>
          <w:bCs/>
          <w:color w:val="auto"/>
          <w:sz w:val="24"/>
          <w:szCs w:val="24"/>
          <w:lang w:val="en-US" w:eastAsia="zh-CN"/>
        </w:rPr>
        <w:t>2026</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25</w:t>
      </w:r>
      <w:r>
        <w:rPr>
          <w:rFonts w:hint="eastAsia" w:ascii="宋体" w:hAnsi="宋体" w:cs="宋体"/>
          <w:b/>
          <w:bCs/>
          <w:color w:val="auto"/>
          <w:sz w:val="24"/>
          <w:szCs w:val="24"/>
        </w:rPr>
        <w:t>日上午12：00时前以快递送达方式递交，凡超出上述时限送达的报价文件均拒绝接受并视为贵单位放弃参与本项目报价。</w:t>
      </w:r>
      <w:r>
        <w:rPr>
          <w:rFonts w:hint="eastAsia" w:ascii="宋体" w:hAnsi="宋体" w:cs="宋体"/>
          <w:color w:val="auto"/>
          <w:sz w:val="24"/>
          <w:szCs w:val="24"/>
          <w:highlight w:val="none"/>
        </w:rPr>
        <w:t>报价统一采用本《</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文件》附件报价函，否则视为无效报价。</w:t>
      </w:r>
    </w:p>
    <w:p w14:paraId="44632F04">
      <w:pPr>
        <w:pageBreakBefore w:val="0"/>
        <w:widowControl/>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参与本项目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的供应商不足3家的，则本项目重新开展</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评审小组认为供应商的报价明显低于其他供应商的报价，有可能影响服务质量或者不能诚信履约的，应当要求其在合理的时间内提供盖章后的书面说明纸质件递交至现场或盖章后的电子文档说明扫描件传至指定邮箱，必要时提交相关证明材料；供应商不能证明其报价合理性的，评审小组应当将其作为无效投标处理。</w:t>
      </w:r>
    </w:p>
    <w:p w14:paraId="75BE53EC">
      <w:pPr>
        <w:pageBreakBefore w:val="0"/>
        <w:widowControl/>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07973A76">
      <w:pPr>
        <w:pageBreakBefore w:val="0"/>
        <w:widowControl/>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联系电话：023-63524124</w:t>
      </w:r>
      <w:bookmarkStart w:id="17" w:name="_GoBack"/>
      <w:bookmarkEnd w:id="17"/>
    </w:p>
    <w:p w14:paraId="03B1AD0C">
      <w:pPr>
        <w:pageBreakBefore w:val="0"/>
        <w:widowControl/>
        <w:kinsoku/>
        <w:wordWrap/>
        <w:overflowPunct/>
        <w:topLinePunct w:val="0"/>
        <w:bidi w:val="0"/>
        <w:adjustRightInd w:val="0"/>
        <w:snapToGrid w:val="0"/>
        <w:spacing w:beforeAutospacing="0" w:afterAutospacing="0" w:line="288"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53C81738">
      <w:pPr>
        <w:pStyle w:val="3"/>
        <w:pageBreakBefore w:val="0"/>
        <w:kinsoku/>
        <w:wordWrap/>
        <w:overflowPunct/>
        <w:topLinePunct w:val="0"/>
        <w:bidi w:val="0"/>
        <w:adjustRightInd w:val="0"/>
        <w:snapToGrid w:val="0"/>
        <w:spacing w:beforeAutospacing="0" w:afterAutospacing="0" w:line="288" w:lineRule="auto"/>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69DD3EB6">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1.供应商向我院递交</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文件视为接受</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所有</w:t>
      </w:r>
      <w:r>
        <w:rPr>
          <w:rFonts w:hint="eastAsia" w:ascii="宋体" w:hAnsi="宋体" w:cs="宋体"/>
          <w:color w:val="auto"/>
          <w:sz w:val="24"/>
          <w:szCs w:val="24"/>
          <w:highlight w:val="none"/>
        </w:rPr>
        <w:t>条款，并承诺工作成果必须达到</w:t>
      </w:r>
      <w:r>
        <w:rPr>
          <w:rFonts w:hint="eastAsia" w:ascii="宋体" w:hAnsi="宋体" w:cs="宋体"/>
          <w:color w:val="auto"/>
          <w:sz w:val="24"/>
          <w:szCs w:val="24"/>
          <w:highlight w:val="none"/>
          <w:lang w:val="en-US" w:eastAsia="zh-CN"/>
        </w:rPr>
        <w:t>询比文件</w:t>
      </w:r>
      <w:r>
        <w:rPr>
          <w:rFonts w:hint="eastAsia" w:ascii="宋体" w:hAnsi="宋体" w:cs="宋体"/>
          <w:color w:val="auto"/>
          <w:sz w:val="24"/>
          <w:szCs w:val="24"/>
          <w:highlight w:val="none"/>
        </w:rPr>
        <w:t>的要求。</w:t>
      </w:r>
    </w:p>
    <w:p w14:paraId="3340757D">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05ACD488">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2D5F6BBC">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6E03CA4C">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的供应商，请于公告发布之日起至报名截止时间之前，在重庆市文物考古研究院官网（www.cqkaogu.c</w:t>
      </w:r>
      <w:r>
        <w:rPr>
          <w:rFonts w:hint="eastAsia" w:ascii="宋体" w:hAnsi="宋体" w:cs="宋体"/>
          <w:color w:val="auto"/>
          <w:sz w:val="24"/>
          <w:szCs w:val="24"/>
          <w:highlight w:val="none"/>
          <w:lang w:val="en-US" w:eastAsia="zh-CN"/>
        </w:rPr>
        <w:t>n</w:t>
      </w:r>
      <w:r>
        <w:rPr>
          <w:rFonts w:hint="eastAsia" w:ascii="宋体" w:hAnsi="宋体" w:cs="宋体"/>
          <w:color w:val="auto"/>
          <w:sz w:val="24"/>
          <w:szCs w:val="24"/>
          <w:highlight w:val="none"/>
        </w:rPr>
        <w:t>）上下载查看本项目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文件以及变更公告等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前公布的所有项目资料，无论供应商下载查看与否，均视为已知晓所有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实质性要求内容。</w:t>
      </w:r>
    </w:p>
    <w:p w14:paraId="35E318A2">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2D231FC6">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4F3B819E">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8.不允许分包、转包。</w:t>
      </w:r>
    </w:p>
    <w:p w14:paraId="250E0E3F">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77B9AFCC">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10.采购人应当自</w:t>
      </w:r>
      <w:r>
        <w:rPr>
          <w:rFonts w:hint="eastAsia" w:ascii="宋体" w:hAnsi="宋体" w:eastAsia="宋体" w:cs="宋体"/>
          <w:color w:val="auto"/>
          <w:sz w:val="24"/>
          <w:szCs w:val="24"/>
          <w:highlight w:val="none"/>
          <w:lang w:val="en-US" w:eastAsia="zh-CN"/>
        </w:rPr>
        <w:t>成交结果公示</w:t>
      </w:r>
      <w:r>
        <w:rPr>
          <w:rFonts w:hint="eastAsia" w:ascii="宋体" w:hAnsi="宋体" w:eastAsia="宋体" w:cs="宋体"/>
          <w:color w:val="auto"/>
          <w:sz w:val="24"/>
          <w:szCs w:val="24"/>
          <w:highlight w:val="none"/>
        </w:rPr>
        <w:t>之日起二十日内，按照</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文件和成交供应商响应文件的约定，与成交供应商签订书面合同。所签订的合同不得对</w:t>
      </w:r>
      <w:r>
        <w:rPr>
          <w:rFonts w:hint="eastAsia" w:ascii="宋体" w:hAnsi="宋体" w:cs="宋体"/>
          <w:color w:val="auto"/>
          <w:sz w:val="24"/>
          <w:szCs w:val="24"/>
          <w:highlight w:val="none"/>
          <w:lang w:val="en-US" w:eastAsia="zh-CN"/>
        </w:rPr>
        <w:t>询比</w:t>
      </w:r>
      <w:r>
        <w:rPr>
          <w:rFonts w:hint="eastAsia" w:ascii="宋体" w:hAnsi="宋体" w:eastAsia="宋体" w:cs="宋体"/>
          <w:color w:val="auto"/>
          <w:sz w:val="24"/>
          <w:szCs w:val="24"/>
          <w:highlight w:val="none"/>
        </w:rPr>
        <w:t>文件和供应商的响应文件作实质性修改。</w:t>
      </w:r>
    </w:p>
    <w:p w14:paraId="4867EE6B">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11.成交供应商在二十日内拒绝和采购人签订书面合同的、</w:t>
      </w:r>
      <w:r>
        <w:rPr>
          <w:rFonts w:hint="eastAsia" w:ascii="宋体" w:hAnsi="宋体" w:eastAsia="宋体" w:cs="宋体"/>
          <w:color w:val="auto"/>
          <w:sz w:val="24"/>
          <w:szCs w:val="24"/>
          <w:highlight w:val="none"/>
        </w:rPr>
        <w:t>成交供应商放弃成交资格、因不可抗力不能履行合同、在合同签订前（或合同已签订但尚未履行的，撤销合同的）被查实响应文件存在弄虚作假或者被查实其他违法行为等情形的，采购人可以按照评标报告推荐的成交候选供应商顺序，确定排名下一位的候选人为成交供应商，也可以重新开展</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采购活动。</w:t>
      </w:r>
    </w:p>
    <w:p w14:paraId="39CDC955">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其他未尽事宜由供需双方在采购合同中详细约定。</w:t>
      </w:r>
    </w:p>
    <w:p w14:paraId="4E591311">
      <w:pPr>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13.供应商应严格按照响应文件格式提供相应文件，响应文件或文件内容不符合要求的，将被视为未实质性响应询比文件，其响应将被否决。</w:t>
      </w:r>
    </w:p>
    <w:p w14:paraId="417EC48E">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br w:type="page"/>
      </w:r>
    </w:p>
    <w:p w14:paraId="013858C0">
      <w:pPr>
        <w:pStyle w:val="3"/>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eastAsia" w:ascii="宋体" w:hAnsi="宋体" w:eastAsia="宋体" w:cs="宋体"/>
          <w:color w:val="auto"/>
          <w:sz w:val="24"/>
          <w:szCs w:val="24"/>
          <w:highlight w:val="none"/>
        </w:rPr>
      </w:pPr>
      <w:bookmarkStart w:id="0" w:name="_Toc7138"/>
      <w:bookmarkStart w:id="1" w:name="_Toc16028"/>
      <w:bookmarkStart w:id="2" w:name="_Toc26462"/>
      <w:bookmarkStart w:id="3" w:name="_Toc10403"/>
      <w:bookmarkStart w:id="4" w:name="_Toc18883"/>
      <w:bookmarkStart w:id="5" w:name="_Toc1282"/>
      <w:bookmarkStart w:id="6" w:name="_Toc4385"/>
      <w:bookmarkStart w:id="7" w:name="_Toc29974"/>
      <w:bookmarkStart w:id="8" w:name="_Toc22876"/>
      <w:bookmarkStart w:id="9" w:name="_Toc29396"/>
      <w:bookmarkStart w:id="10" w:name="_Toc12789072"/>
      <w:bookmarkStart w:id="11" w:name="_Toc25180"/>
      <w:bookmarkStart w:id="12" w:name="_Toc9383"/>
      <w:bookmarkStart w:id="13" w:name="_Toc31704"/>
      <w:bookmarkStart w:id="14" w:name="_Toc22073"/>
      <w:bookmarkStart w:id="15" w:name="_Toc22527"/>
      <w:bookmarkStart w:id="16" w:name="_Toc4905"/>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 xml:space="preserve">  响应文件格式要求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38E422B">
      <w:pPr>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一、经济文件</w:t>
      </w:r>
    </w:p>
    <w:p w14:paraId="7E2812CA">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表（格式）</w:t>
      </w:r>
    </w:p>
    <w:p w14:paraId="305807C3">
      <w:pPr>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二、服务文件</w:t>
      </w:r>
    </w:p>
    <w:p w14:paraId="5FB8B09A">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（一）项目实施方案</w:t>
      </w:r>
    </w:p>
    <w:p w14:paraId="151A5C0B">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售后服务方案</w:t>
      </w:r>
    </w:p>
    <w:p w14:paraId="1D18B5B0">
      <w:pPr>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三、商务文件</w:t>
      </w:r>
    </w:p>
    <w:p w14:paraId="4B3EDFF9">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lang w:val="en-US" w:eastAsia="zh-CN"/>
        </w:rPr>
        <w:t>业绩</w:t>
      </w:r>
    </w:p>
    <w:p w14:paraId="7B5D65B0">
      <w:pPr>
        <w:pageBreakBefore w:val="0"/>
        <w:kinsoku/>
        <w:wordWrap/>
        <w:overflowPunct/>
        <w:topLinePunct w:val="0"/>
        <w:bidi w:val="0"/>
        <w:adjustRightInd w:val="0"/>
        <w:snapToGrid w:val="0"/>
        <w:spacing w:beforeAutospacing="0" w:afterAutospacing="0" w:line="288"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、资格文件</w:t>
      </w:r>
    </w:p>
    <w:p w14:paraId="6E39A05F">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14:paraId="6EE643C5">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2C0B2CC0">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044F25D2">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C8AE312">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廉政风险防范承诺（格式）</w:t>
      </w:r>
    </w:p>
    <w:p w14:paraId="6AEB3DEC">
      <w:pPr>
        <w:pageBreakBefore w:val="0"/>
        <w:kinsoku/>
        <w:wordWrap/>
        <w:overflowPunct/>
        <w:topLinePunct w:val="0"/>
        <w:bidi w:val="0"/>
        <w:adjustRightInd w:val="0"/>
        <w:snapToGrid w:val="0"/>
        <w:spacing w:beforeAutospacing="0" w:afterAutospacing="0" w:line="288" w:lineRule="auto"/>
        <w:ind w:firstLine="560" w:firstLineChars="200"/>
        <w:textAlignment w:val="auto"/>
        <w:rPr>
          <w:rFonts w:hint="eastAsia"/>
          <w:color w:val="auto"/>
          <w:highlight w:val="none"/>
        </w:rPr>
      </w:pPr>
      <w:r>
        <w:rPr>
          <w:rFonts w:hint="eastAsia"/>
          <w:color w:val="auto"/>
          <w:highlight w:val="none"/>
        </w:rPr>
        <w:br w:type="page"/>
      </w:r>
    </w:p>
    <w:p w14:paraId="239DCDA3">
      <w:pPr>
        <w:pageBreakBefore w:val="0"/>
        <w:kinsoku/>
        <w:wordWrap/>
        <w:overflowPunct/>
        <w:topLinePunct w:val="0"/>
        <w:bidi w:val="0"/>
        <w:adjustRightInd w:val="0"/>
        <w:snapToGrid w:val="0"/>
        <w:spacing w:beforeAutospacing="0" w:afterAutospacing="0" w:line="288" w:lineRule="auto"/>
        <w:ind w:firstLine="560" w:firstLineChars="200"/>
        <w:textAlignment w:val="auto"/>
        <w:rPr>
          <w:color w:val="auto"/>
          <w:highlight w:val="none"/>
        </w:rPr>
      </w:pPr>
      <w:r>
        <w:rPr>
          <w:rFonts w:hint="eastAsia"/>
          <w:color w:val="auto"/>
          <w:highlight w:val="none"/>
          <w:lang w:val="en-US" w:eastAsia="zh-CN"/>
        </w:rPr>
        <w:t>一、经济文件</w:t>
      </w:r>
    </w:p>
    <w:p w14:paraId="69F89B78">
      <w:pPr>
        <w:pageBreakBefore w:val="0"/>
        <w:tabs>
          <w:tab w:val="left" w:pos="6300"/>
        </w:tabs>
        <w:kinsoku/>
        <w:wordWrap/>
        <w:overflowPunct/>
        <w:topLinePunct w:val="0"/>
        <w:bidi w:val="0"/>
        <w:adjustRightInd w:val="0"/>
        <w:snapToGrid w:val="0"/>
        <w:spacing w:beforeAutospacing="0" w:afterAutospacing="0" w:line="288" w:lineRule="auto"/>
        <w:ind w:firstLine="723" w:firstLineChars="20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报价</w:t>
      </w:r>
      <w:r>
        <w:rPr>
          <w:rFonts w:hint="eastAsia" w:ascii="宋体" w:hAnsi="宋体" w:cs="宋体"/>
          <w:b/>
          <w:color w:val="auto"/>
          <w:sz w:val="36"/>
          <w:szCs w:val="36"/>
          <w:highlight w:val="none"/>
          <w:lang w:val="en-US" w:eastAsia="zh-CN"/>
        </w:rPr>
        <w:t>表</w:t>
      </w:r>
    </w:p>
    <w:p w14:paraId="67E625DC">
      <w:pPr>
        <w:pageBreakBefore w:val="0"/>
        <w:tabs>
          <w:tab w:val="left" w:pos="6300"/>
        </w:tabs>
        <w:kinsoku/>
        <w:wordWrap/>
        <w:overflowPunct/>
        <w:topLinePunct w:val="0"/>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u w:val="single"/>
          <w:lang w:val="en-US" w:eastAsia="zh-CN"/>
        </w:rPr>
        <w:t>重庆市文物考古研究院（重庆文化遗产保护中心）</w:t>
      </w:r>
      <w:r>
        <w:rPr>
          <w:rFonts w:hint="eastAsia" w:ascii="宋体" w:hAnsi="宋体" w:cs="宋体"/>
          <w:color w:val="auto"/>
          <w:sz w:val="24"/>
          <w:szCs w:val="24"/>
          <w:highlight w:val="none"/>
        </w:rPr>
        <w:t>：</w:t>
      </w:r>
    </w:p>
    <w:p w14:paraId="210D2256">
      <w:pPr>
        <w:pageBreakBefore w:val="0"/>
        <w:tabs>
          <w:tab w:val="left" w:pos="6300"/>
        </w:tabs>
        <w:kinsoku/>
        <w:wordWrap/>
        <w:overflowPunct/>
        <w:topLinePunct w:val="0"/>
        <w:bidi w:val="0"/>
        <w:adjustRightInd w:val="0"/>
        <w:snapToGrid w:val="0"/>
        <w:spacing w:beforeAutospacing="0" w:afterAutospacing="0" w:line="288"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项目名称）的</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文件，经详细研究，决定参加该</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项目的报价。</w:t>
      </w:r>
    </w:p>
    <w:p w14:paraId="3BB623FF">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愿意按照</w:t>
      </w:r>
      <w:r>
        <w:rPr>
          <w:rFonts w:hint="eastAsia" w:ascii="宋体" w:hAnsi="宋体" w:cs="宋体"/>
          <w:color w:val="auto"/>
          <w:sz w:val="24"/>
          <w:szCs w:val="24"/>
          <w:highlight w:val="none"/>
          <w:lang w:val="en-US" w:eastAsia="zh-CN"/>
        </w:rPr>
        <w:t>询比</w:t>
      </w:r>
      <w:r>
        <w:rPr>
          <w:rFonts w:hint="eastAsia" w:ascii="宋体" w:hAnsi="宋体" w:cs="宋体"/>
          <w:color w:val="auto"/>
          <w:sz w:val="24"/>
          <w:szCs w:val="24"/>
          <w:highlight w:val="none"/>
        </w:rPr>
        <w:t>文件中的一切要求，提供本项目的服务，最终报价为人民币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元  ，大写：  整</w:t>
      </w:r>
      <w:r>
        <w:rPr>
          <w:rFonts w:hint="eastAsia" w:ascii="宋体" w:hAnsi="宋体" w:cs="宋体"/>
          <w:color w:val="auto"/>
          <w:sz w:val="24"/>
          <w:szCs w:val="24"/>
          <w:highlight w:val="none"/>
        </w:rPr>
        <w:t>。</w:t>
      </w:r>
    </w:p>
    <w:p w14:paraId="10ECB902">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我方完全理解并接受该项目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文件所有要求。</w:t>
      </w:r>
    </w:p>
    <w:p w14:paraId="5860BD08">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我方提交的所有文件、资料都是准确和真实的，如有虚假或隐瞒，我方愿意承担一切法律责任。</w:t>
      </w:r>
    </w:p>
    <w:p w14:paraId="1BE6B98B">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我方承诺按照</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文件要求，提供招标项目的服务。</w:t>
      </w:r>
    </w:p>
    <w:p w14:paraId="69663241">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我方按</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文件要求提交的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文件为：正本1份，副本1份。</w:t>
      </w:r>
    </w:p>
    <w:p w14:paraId="6A0951D2">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我方报价为闭口价。即在有效期和合同有效期内，该报价固定不变。</w:t>
      </w:r>
    </w:p>
    <w:p w14:paraId="6278DA95">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如果我方成交，我方将履行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文件中规定的各项要求以及我方文件的各项承诺，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中华人民共和国政府采购法》、《中华人民共和国民法典》及合同约定条款承担我方责任。</w:t>
      </w:r>
    </w:p>
    <w:p w14:paraId="22B3E49C">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我方理解，最低报价不是成交的唯一条件。</w:t>
      </w:r>
    </w:p>
    <w:p w14:paraId="4A0E94ED">
      <w:pPr>
        <w:pageBreakBefore w:val="0"/>
        <w:tabs>
          <w:tab w:val="left" w:pos="6300"/>
        </w:tabs>
        <w:kinsoku/>
        <w:wordWrap/>
        <w:overflowPunct/>
        <w:topLinePunct w:val="0"/>
        <w:bidi w:val="0"/>
        <w:adjustRightInd w:val="0"/>
        <w:snapToGrid w:val="0"/>
        <w:spacing w:beforeAutospacing="0" w:afterAutospacing="0" w:line="288" w:lineRule="auto"/>
        <w:ind w:left="278"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我方同意按有关规定及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p w14:paraId="65E6781E">
      <w:pPr>
        <w:pageBreakBefore w:val="0"/>
        <w:tabs>
          <w:tab w:val="left" w:pos="6300"/>
        </w:tabs>
        <w:kinsoku/>
        <w:wordWrap/>
        <w:overflowPunct/>
        <w:topLinePunct w:val="0"/>
        <w:bidi w:val="0"/>
        <w:adjustRightInd w:val="0"/>
        <w:snapToGrid w:val="0"/>
        <w:spacing w:beforeAutospacing="0" w:afterAutospacing="0" w:line="288" w:lineRule="auto"/>
        <w:ind w:left="478" w:leftChars="85" w:hanging="240" w:hangingChars="100"/>
        <w:textAlignment w:val="auto"/>
        <w:rPr>
          <w:rFonts w:hint="eastAsia" w:ascii="宋体" w:hAnsi="宋体" w:eastAsia="宋体" w:cs="宋体"/>
          <w:color w:val="auto"/>
          <w:sz w:val="24"/>
          <w:szCs w:val="24"/>
          <w:highlight w:val="none"/>
        </w:rPr>
      </w:pPr>
    </w:p>
    <w:p w14:paraId="0B65703E">
      <w:pPr>
        <w:pageBreakBefore w:val="0"/>
        <w:tabs>
          <w:tab w:val="left" w:pos="6300"/>
        </w:tabs>
        <w:kinsoku/>
        <w:wordWrap/>
        <w:overflowPunct/>
        <w:topLinePunct w:val="0"/>
        <w:bidi w:val="0"/>
        <w:adjustRightInd w:val="0"/>
        <w:snapToGrid w:val="0"/>
        <w:spacing w:beforeAutospacing="0" w:afterAutospacing="0" w:line="288" w:lineRule="auto"/>
        <w:ind w:firstLine="570"/>
        <w:textAlignment w:val="auto"/>
        <w:rPr>
          <w:rFonts w:ascii="宋体" w:hAnsi="宋体" w:cs="宋体"/>
          <w:color w:val="auto"/>
          <w:sz w:val="24"/>
          <w:szCs w:val="24"/>
          <w:highlight w:val="none"/>
        </w:rPr>
      </w:pPr>
    </w:p>
    <w:p w14:paraId="646D8794">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09D822FB">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left="0" w:leftChars="0" w:firstLine="480" w:firstLineChars="200"/>
        <w:textAlignment w:val="auto"/>
        <w:rPr>
          <w:rFonts w:eastAsia="宋体"/>
          <w:color w:val="auto"/>
          <w:highlight w:val="none"/>
        </w:rPr>
      </w:pPr>
      <w:r>
        <w:rPr>
          <w:rFonts w:hint="eastAsia" w:eastAsia="宋体" w:cs="宋体"/>
          <w:color w:val="auto"/>
          <w:szCs w:val="24"/>
          <w:highlight w:val="none"/>
        </w:rPr>
        <w:t>法定代表人（签字）：</w:t>
      </w:r>
    </w:p>
    <w:p w14:paraId="5E62845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lang w:val="en-US" w:eastAsia="zh-CN"/>
        </w:rPr>
        <w:t xml:space="preserve"> </w:t>
      </w:r>
    </w:p>
    <w:p w14:paraId="727736D5">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6153765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3815810B">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B3E39A5">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DEA6841">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34138520">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88" w:lineRule="auto"/>
        <w:ind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服务文件</w:t>
      </w:r>
    </w:p>
    <w:p w14:paraId="6BFCBF4E">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（一）项目实施方案</w:t>
      </w:r>
    </w:p>
    <w:p w14:paraId="6CBDEC43">
      <w:pPr>
        <w:pageBreakBefore w:val="0"/>
        <w:kinsoku/>
        <w:wordWrap/>
        <w:overflowPunct/>
        <w:topLinePunct w:val="0"/>
        <w:bidi w:val="0"/>
        <w:adjustRightInd w:val="0"/>
        <w:snapToGrid w:val="0"/>
        <w:spacing w:beforeAutospacing="0" w:afterAutospacing="0" w:line="288"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售后服务方案</w:t>
      </w:r>
    </w:p>
    <w:p w14:paraId="7D50F20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032646A">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88" w:lineRule="auto"/>
        <w:ind w:left="0" w:leftChars="0"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商务文件</w:t>
      </w:r>
    </w:p>
    <w:p w14:paraId="7015C0EF">
      <w:pPr>
        <w:keepNext w:val="0"/>
        <w:keepLines w:val="0"/>
        <w:pageBreakBefore w:val="0"/>
        <w:widowControl w:val="0"/>
        <w:numPr>
          <w:ilvl w:val="0"/>
          <w:numId w:val="2"/>
        </w:numPr>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7680F392">
      <w:pPr>
        <w:keepNext w:val="0"/>
        <w:keepLines w:val="0"/>
        <w:pageBreakBefore w:val="0"/>
        <w:widowControl w:val="0"/>
        <w:numPr>
          <w:ilvl w:val="0"/>
          <w:numId w:val="0"/>
        </w:numPr>
        <w:tabs>
          <w:tab w:val="left" w:pos="6300"/>
        </w:tabs>
        <w:kinsoku/>
        <w:wordWrap/>
        <w:overflowPunct/>
        <w:topLinePunct w:val="0"/>
        <w:autoSpaceDE/>
        <w:autoSpaceDN/>
        <w:bidi w:val="0"/>
        <w:adjustRightInd w:val="0"/>
        <w:snapToGrid w:val="0"/>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0241906">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88" w:lineRule="auto"/>
        <w:ind w:left="0" w:leftChars="0"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资格文件</w:t>
      </w:r>
    </w:p>
    <w:p w14:paraId="52EE4AFA">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5A4F388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F49167">
      <w:pPr>
        <w:keepNext w:val="0"/>
        <w:keepLines w:val="0"/>
        <w:pageBreakBefore w:val="0"/>
        <w:widowControl w:val="0"/>
        <w:numPr>
          <w:ilvl w:val="0"/>
          <w:numId w:val="3"/>
        </w:numPr>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法定代表人身份证明书（格式）</w:t>
      </w:r>
    </w:p>
    <w:p w14:paraId="3E51222E">
      <w:pPr>
        <w:keepNext w:val="0"/>
        <w:keepLines w:val="0"/>
        <w:pageBreakBefore w:val="0"/>
        <w:widowControl w:val="0"/>
        <w:numPr>
          <w:ilvl w:val="0"/>
          <w:numId w:val="0"/>
        </w:numPr>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710FB18E">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7B1EB766">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重庆市文物考古研究院（重庆文化遗产保护中心）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DB01E7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02047E2D">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2134C1E5">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20F9C9F">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0D3BECEA">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30903B1B">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7DB2F2EB">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1CA5906">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42E9DC2E">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4A9BA8E">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6A29F69B">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文件的可不填写）</w:t>
      </w:r>
    </w:p>
    <w:p w14:paraId="540B1CBE">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679CFE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6103CA6B">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813F2F0">
      <w:pPr>
        <w:keepNext w:val="0"/>
        <w:keepLines w:val="0"/>
        <w:pageBreakBefore w:val="0"/>
        <w:widowControl w:val="0"/>
        <w:numPr>
          <w:ilvl w:val="0"/>
          <w:numId w:val="3"/>
        </w:numPr>
        <w:tabs>
          <w:tab w:val="left" w:pos="6300"/>
        </w:tabs>
        <w:kinsoku/>
        <w:wordWrap/>
        <w:overflowPunct/>
        <w:topLinePunct w:val="0"/>
        <w:autoSpaceDE/>
        <w:autoSpaceDN/>
        <w:bidi w:val="0"/>
        <w:adjustRightInd w:val="0"/>
        <w:snapToGrid w:val="0"/>
        <w:spacing w:beforeAutospacing="0" w:afterAutospacing="0" w:line="28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法定代表人授权委托书（格式）</w:t>
      </w:r>
    </w:p>
    <w:p w14:paraId="29A9962C">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szCs w:val="28"/>
          <w:highlight w:val="none"/>
        </w:rPr>
      </w:pPr>
    </w:p>
    <w:p w14:paraId="0DCBC662">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EA194CA">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5DA6E00D">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重庆市文物考古研究院（重庆文化遗产保护中心）</w:t>
      </w:r>
      <w:r>
        <w:rPr>
          <w:rFonts w:hint="eastAsia" w:ascii="宋体" w:hAnsi="宋体" w:eastAsia="宋体" w:cs="宋体"/>
          <w:color w:val="auto"/>
          <w:sz w:val="24"/>
          <w:highlight w:val="none"/>
        </w:rPr>
        <w:t>：</w:t>
      </w:r>
    </w:p>
    <w:p w14:paraId="25AD96F5">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、谈判、签约等具体工作，并签署全部有关文件、协议及合同。</w:t>
      </w:r>
    </w:p>
    <w:p w14:paraId="0B63FC9A">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1815C7DC">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30F503D6">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53701BE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6824E097">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23524D1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0F541800">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szCs w:val="28"/>
          <w:highlight w:val="none"/>
        </w:rPr>
      </w:pPr>
    </w:p>
    <w:p w14:paraId="55E43A24">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13A2980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7111F49">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A4D775">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046F82DC">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highlight w:val="none"/>
        </w:rPr>
      </w:pPr>
    </w:p>
    <w:p w14:paraId="65C8FDCC">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right="480"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EA204F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right="480"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50A34C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right="48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文件的可不填写）</w:t>
      </w:r>
    </w:p>
    <w:p w14:paraId="6CC2A676">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right="48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570D3EB">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8" w:lineRule="auto"/>
        <w:ind w:left="57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1.若为法定代表人办理并签署</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文件的，不提供此文件。</w:t>
      </w:r>
    </w:p>
    <w:p w14:paraId="27682B4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D84F433">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43FBBE7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7CAA90E5">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szCs w:val="24"/>
          <w:highlight w:val="none"/>
        </w:rPr>
      </w:pPr>
    </w:p>
    <w:p w14:paraId="78DD5B46">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重庆市文物考古研究院（重庆文化遗产保护中心）</w:t>
      </w:r>
      <w:r>
        <w:rPr>
          <w:rFonts w:hint="eastAsia" w:ascii="宋体" w:hAnsi="宋体" w:eastAsia="宋体" w:cs="宋体"/>
          <w:color w:val="auto"/>
          <w:sz w:val="24"/>
          <w:szCs w:val="24"/>
          <w:highlight w:val="none"/>
        </w:rPr>
        <w:t>：</w:t>
      </w:r>
    </w:p>
    <w:p w14:paraId="0E044591">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35C948F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，满足法律、行政法规规定的其他条件，参加本项目采购活动前三年内无重大违法活动记录。</w:t>
      </w:r>
    </w:p>
    <w:p w14:paraId="7DB30690">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4599E7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13568AED">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4FCE19F">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9247FC4">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0" w:firstLineChars="0"/>
        <w:textAlignment w:val="auto"/>
        <w:rPr>
          <w:rFonts w:hint="eastAsia" w:ascii="宋体" w:hAnsi="宋体" w:eastAsia="宋体" w:cs="宋体"/>
          <w:color w:val="auto"/>
          <w:sz w:val="24"/>
          <w:szCs w:val="24"/>
          <w:highlight w:val="none"/>
        </w:rPr>
      </w:pPr>
    </w:p>
    <w:p w14:paraId="08C87EB9">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right="424"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0437B3E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840CFDD">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firstLine="0" w:firstLineChars="0"/>
        <w:textAlignment w:val="auto"/>
        <w:rPr>
          <w:rFonts w:hint="eastAsia" w:ascii="宋体" w:hAnsi="宋体" w:eastAsia="宋体" w:cs="宋体"/>
          <w:color w:val="auto"/>
          <w:highlight w:val="none"/>
          <w:lang w:val="en-US" w:eastAsia="zh-CN"/>
        </w:rPr>
      </w:pPr>
    </w:p>
    <w:p w14:paraId="04A49687">
      <w:pPr>
        <w:rPr>
          <w:rFonts w:hint="eastAsia" w:ascii="宋体" w:hAnsi="宋体" w:eastAsia="宋体" w:cs="宋体"/>
          <w:color w:val="auto"/>
          <w:highlight w:val="none"/>
          <w:lang w:val="en-US" w:eastAsia="zh-CN"/>
        </w:rPr>
      </w:pPr>
    </w:p>
    <w:p w14:paraId="480710D9">
      <w:pPr>
        <w:pStyle w:val="6"/>
        <w:rPr>
          <w:rFonts w:hint="eastAsia" w:ascii="宋体" w:hAnsi="宋体" w:eastAsia="宋体" w:cs="宋体"/>
          <w:color w:val="auto"/>
          <w:highlight w:val="none"/>
          <w:lang w:val="en-US" w:eastAsia="zh-CN"/>
        </w:rPr>
      </w:pPr>
    </w:p>
    <w:p w14:paraId="13E494C6">
      <w:pPr>
        <w:rPr>
          <w:rFonts w:hint="eastAsia" w:ascii="宋体" w:hAnsi="宋体" w:eastAsia="宋体" w:cs="宋体"/>
          <w:color w:val="auto"/>
          <w:highlight w:val="none"/>
          <w:lang w:val="en-US" w:eastAsia="zh-CN"/>
        </w:rPr>
      </w:pPr>
    </w:p>
    <w:p w14:paraId="2AE0C57D">
      <w:pPr>
        <w:pStyle w:val="6"/>
        <w:rPr>
          <w:rFonts w:hint="eastAsia" w:ascii="宋体" w:hAnsi="宋体" w:eastAsia="宋体" w:cs="宋体"/>
          <w:color w:val="auto"/>
          <w:highlight w:val="none"/>
          <w:lang w:val="en-US" w:eastAsia="zh-CN"/>
        </w:rPr>
      </w:pPr>
    </w:p>
    <w:p w14:paraId="5BF7ACEC">
      <w:pPr>
        <w:rPr>
          <w:rFonts w:hint="eastAsia" w:ascii="宋体" w:hAnsi="宋体" w:eastAsia="宋体" w:cs="宋体"/>
          <w:color w:val="auto"/>
          <w:highlight w:val="none"/>
          <w:lang w:val="en-US" w:eastAsia="zh-CN"/>
        </w:rPr>
      </w:pPr>
    </w:p>
    <w:p w14:paraId="3F23AA5C">
      <w:pPr>
        <w:pStyle w:val="6"/>
        <w:rPr>
          <w:rFonts w:hint="eastAsia" w:ascii="宋体" w:hAnsi="宋体" w:eastAsia="宋体" w:cs="宋体"/>
          <w:color w:val="auto"/>
          <w:highlight w:val="none"/>
          <w:lang w:val="en-US" w:eastAsia="zh-CN"/>
        </w:rPr>
      </w:pPr>
    </w:p>
    <w:p w14:paraId="21E7CFE4">
      <w:pPr>
        <w:rPr>
          <w:rFonts w:hint="eastAsia" w:ascii="宋体" w:hAnsi="宋体" w:eastAsia="宋体" w:cs="宋体"/>
          <w:color w:val="auto"/>
          <w:highlight w:val="none"/>
          <w:lang w:val="en-US" w:eastAsia="zh-CN"/>
        </w:rPr>
      </w:pPr>
    </w:p>
    <w:p w14:paraId="68761418">
      <w:pPr>
        <w:pStyle w:val="6"/>
        <w:rPr>
          <w:rFonts w:hint="eastAsia" w:ascii="宋体" w:hAnsi="宋体" w:eastAsia="宋体" w:cs="宋体"/>
          <w:color w:val="auto"/>
          <w:highlight w:val="none"/>
          <w:lang w:val="en-US" w:eastAsia="zh-CN"/>
        </w:rPr>
      </w:pPr>
    </w:p>
    <w:p w14:paraId="20654214">
      <w:pPr>
        <w:rPr>
          <w:rFonts w:hint="eastAsia" w:ascii="宋体" w:hAnsi="宋体" w:eastAsia="宋体" w:cs="宋体"/>
          <w:color w:val="auto"/>
          <w:highlight w:val="none"/>
          <w:lang w:val="en-US" w:eastAsia="zh-CN"/>
        </w:rPr>
      </w:pPr>
    </w:p>
    <w:p w14:paraId="2F2A058F">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rPr>
      </w:pPr>
    </w:p>
    <w:p w14:paraId="0D8D7882">
      <w:pPr>
        <w:keepNext w:val="0"/>
        <w:keepLines w:val="0"/>
        <w:pageBreakBefore w:val="0"/>
        <w:widowControl w:val="0"/>
        <w:tabs>
          <w:tab w:val="left" w:pos="6300"/>
        </w:tabs>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廉政风险防范承诺</w:t>
      </w:r>
      <w:r>
        <w:rPr>
          <w:rFonts w:hint="eastAsia" w:ascii="宋体" w:hAnsi="宋体" w:eastAsia="宋体" w:cs="宋体"/>
          <w:color w:val="auto"/>
          <w:sz w:val="24"/>
          <w:szCs w:val="24"/>
          <w:highlight w:val="none"/>
        </w:rPr>
        <w:t>（格式）</w:t>
      </w:r>
    </w:p>
    <w:p w14:paraId="642B6455">
      <w:pPr>
        <w:spacing w:before="156" w:beforeLines="50" w:after="156" w:afterLines="50" w:line="480" w:lineRule="auto"/>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1、不得向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2、不得擅自与</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6、在整个货物（或服务）交易环节，均应公开透明进行，不得私下商议。所有交易行为均应符合商业通行惯例及法律法规，如</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法定代表人或其授权的代理人（签字或签章）：</w:t>
      </w:r>
    </w:p>
    <w:p w14:paraId="2F43AF8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年  月  日 </w:t>
      </w:r>
    </w:p>
    <w:sectPr>
      <w:footerReference r:id="rId5" w:type="default"/>
      <w:pgSz w:w="11906" w:h="16838"/>
      <w:pgMar w:top="1984" w:right="1446" w:bottom="1644" w:left="1446"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CC3F26-FC9B-4982-B640-0CF5460D3EA2}"/>
  </w:font>
  <w:font w:name="方正仿宋_GBK">
    <w:panose1 w:val="02000000000000000000"/>
    <w:charset w:val="86"/>
    <w:family w:val="auto"/>
    <w:pitch w:val="default"/>
    <w:sig w:usb0="00000001" w:usb1="080E0000" w:usb2="00000000" w:usb3="00000000" w:csb0="00040000" w:csb1="00000000"/>
    <w:embedRegular r:id="rId2" w:fontKey="{895DC17A-F654-431F-95E0-ECA4B04A053E}"/>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DC8FD4F7-CF8D-4D4E-888F-94DF4A00FE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271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EFA29">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9EFA29">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D7556"/>
    <w:multiLevelType w:val="singleLevel"/>
    <w:tmpl w:val="DD5D7556"/>
    <w:lvl w:ilvl="0" w:tentative="0">
      <w:start w:val="1"/>
      <w:numFmt w:val="chineseCounting"/>
      <w:suff w:val="nothing"/>
      <w:lvlText w:val="（%1）"/>
      <w:lvlJc w:val="left"/>
      <w:rPr>
        <w:rFonts w:hint="eastAsia"/>
      </w:rPr>
    </w:lvl>
  </w:abstractNum>
  <w:abstractNum w:abstractNumId="1">
    <w:nsid w:val="1CEACBD7"/>
    <w:multiLevelType w:val="singleLevel"/>
    <w:tmpl w:val="1CEACBD7"/>
    <w:lvl w:ilvl="0" w:tentative="0">
      <w:start w:val="2"/>
      <w:numFmt w:val="chineseCounting"/>
      <w:suff w:val="nothing"/>
      <w:lvlText w:val="%1、"/>
      <w:lvlJc w:val="left"/>
      <w:rPr>
        <w:rFonts w:hint="eastAsia"/>
      </w:rPr>
    </w:lvl>
  </w:abstractNum>
  <w:abstractNum w:abstractNumId="2">
    <w:nsid w:val="2C7BAC3A"/>
    <w:multiLevelType w:val="singleLevel"/>
    <w:tmpl w:val="2C7BAC3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64C13"/>
    <w:rsid w:val="00086F93"/>
    <w:rsid w:val="0017384A"/>
    <w:rsid w:val="001B364E"/>
    <w:rsid w:val="001D10D5"/>
    <w:rsid w:val="00246061"/>
    <w:rsid w:val="002E6413"/>
    <w:rsid w:val="00304D8F"/>
    <w:rsid w:val="0030640D"/>
    <w:rsid w:val="00342047"/>
    <w:rsid w:val="003548C5"/>
    <w:rsid w:val="0036487C"/>
    <w:rsid w:val="00367CE0"/>
    <w:rsid w:val="003D1991"/>
    <w:rsid w:val="003E7BD8"/>
    <w:rsid w:val="00404D54"/>
    <w:rsid w:val="00421585"/>
    <w:rsid w:val="004A3312"/>
    <w:rsid w:val="004B48CF"/>
    <w:rsid w:val="004E3546"/>
    <w:rsid w:val="00581752"/>
    <w:rsid w:val="005F4816"/>
    <w:rsid w:val="00614881"/>
    <w:rsid w:val="00615EA1"/>
    <w:rsid w:val="006861B0"/>
    <w:rsid w:val="0073688F"/>
    <w:rsid w:val="007369A0"/>
    <w:rsid w:val="00786BF5"/>
    <w:rsid w:val="007C7BC8"/>
    <w:rsid w:val="008C4FCD"/>
    <w:rsid w:val="009923D2"/>
    <w:rsid w:val="00993073"/>
    <w:rsid w:val="00A46F64"/>
    <w:rsid w:val="00A87144"/>
    <w:rsid w:val="00AE3302"/>
    <w:rsid w:val="00C11603"/>
    <w:rsid w:val="00C313FB"/>
    <w:rsid w:val="00C646FA"/>
    <w:rsid w:val="00D115E7"/>
    <w:rsid w:val="00D119D7"/>
    <w:rsid w:val="00D13CB1"/>
    <w:rsid w:val="00D32689"/>
    <w:rsid w:val="00D70EC2"/>
    <w:rsid w:val="00DA54CF"/>
    <w:rsid w:val="00DA5DAF"/>
    <w:rsid w:val="00DB4E80"/>
    <w:rsid w:val="00E57DE3"/>
    <w:rsid w:val="00F0487F"/>
    <w:rsid w:val="00F4063A"/>
    <w:rsid w:val="00F46C9A"/>
    <w:rsid w:val="01543C57"/>
    <w:rsid w:val="01B0664E"/>
    <w:rsid w:val="022E1402"/>
    <w:rsid w:val="022F436A"/>
    <w:rsid w:val="031464AA"/>
    <w:rsid w:val="038327FA"/>
    <w:rsid w:val="04182746"/>
    <w:rsid w:val="0534627A"/>
    <w:rsid w:val="05607B00"/>
    <w:rsid w:val="058B3D03"/>
    <w:rsid w:val="073D32F5"/>
    <w:rsid w:val="084C5688"/>
    <w:rsid w:val="086230FE"/>
    <w:rsid w:val="09A3577C"/>
    <w:rsid w:val="09FD7D81"/>
    <w:rsid w:val="0AA12C4B"/>
    <w:rsid w:val="0ACD1B3D"/>
    <w:rsid w:val="0ADD3FAE"/>
    <w:rsid w:val="0B122005"/>
    <w:rsid w:val="0B9454AB"/>
    <w:rsid w:val="0BA61553"/>
    <w:rsid w:val="0BD41410"/>
    <w:rsid w:val="0BFC422F"/>
    <w:rsid w:val="0C296FB5"/>
    <w:rsid w:val="0CDD2D53"/>
    <w:rsid w:val="0DC6708C"/>
    <w:rsid w:val="0E3736F1"/>
    <w:rsid w:val="0E464928"/>
    <w:rsid w:val="103C1664"/>
    <w:rsid w:val="10E540B1"/>
    <w:rsid w:val="117D4B05"/>
    <w:rsid w:val="131C260B"/>
    <w:rsid w:val="136E71D2"/>
    <w:rsid w:val="140D7D73"/>
    <w:rsid w:val="1421769B"/>
    <w:rsid w:val="14243BCA"/>
    <w:rsid w:val="148B7538"/>
    <w:rsid w:val="14932D03"/>
    <w:rsid w:val="14C46641"/>
    <w:rsid w:val="15791A87"/>
    <w:rsid w:val="15C059F3"/>
    <w:rsid w:val="1663076D"/>
    <w:rsid w:val="16771212"/>
    <w:rsid w:val="17CE60BA"/>
    <w:rsid w:val="181B0BD3"/>
    <w:rsid w:val="183D0015"/>
    <w:rsid w:val="18F41B50"/>
    <w:rsid w:val="191E1684"/>
    <w:rsid w:val="1972585E"/>
    <w:rsid w:val="19F87477"/>
    <w:rsid w:val="1A5F2FF9"/>
    <w:rsid w:val="1A736AA5"/>
    <w:rsid w:val="1B541453"/>
    <w:rsid w:val="1C1A2D59"/>
    <w:rsid w:val="1C2C33AF"/>
    <w:rsid w:val="1C914DAE"/>
    <w:rsid w:val="1CA83640"/>
    <w:rsid w:val="1CB239FF"/>
    <w:rsid w:val="1CB659F1"/>
    <w:rsid w:val="1D167BBB"/>
    <w:rsid w:val="1E193E07"/>
    <w:rsid w:val="1E5F5CBE"/>
    <w:rsid w:val="1EFF2FFD"/>
    <w:rsid w:val="1F51312D"/>
    <w:rsid w:val="1FAD4807"/>
    <w:rsid w:val="1FCA360B"/>
    <w:rsid w:val="1FD46237"/>
    <w:rsid w:val="201C6E50"/>
    <w:rsid w:val="20A57BD4"/>
    <w:rsid w:val="20C544AF"/>
    <w:rsid w:val="20CB6CB7"/>
    <w:rsid w:val="213B5E42"/>
    <w:rsid w:val="214C2ADA"/>
    <w:rsid w:val="22105521"/>
    <w:rsid w:val="22BB723B"/>
    <w:rsid w:val="240D7F6A"/>
    <w:rsid w:val="25981347"/>
    <w:rsid w:val="26072AA1"/>
    <w:rsid w:val="26E56F7C"/>
    <w:rsid w:val="270D67FE"/>
    <w:rsid w:val="27133A29"/>
    <w:rsid w:val="27321A96"/>
    <w:rsid w:val="27A74CA5"/>
    <w:rsid w:val="280C017D"/>
    <w:rsid w:val="283006CB"/>
    <w:rsid w:val="28CF44CD"/>
    <w:rsid w:val="28D11CDD"/>
    <w:rsid w:val="28EF40E2"/>
    <w:rsid w:val="29010B9E"/>
    <w:rsid w:val="29410070"/>
    <w:rsid w:val="29D00809"/>
    <w:rsid w:val="2AB96756"/>
    <w:rsid w:val="2ADC41F2"/>
    <w:rsid w:val="2AFE685E"/>
    <w:rsid w:val="2B094C67"/>
    <w:rsid w:val="2B9106D3"/>
    <w:rsid w:val="2BBF5B57"/>
    <w:rsid w:val="2C482A44"/>
    <w:rsid w:val="2C964A81"/>
    <w:rsid w:val="2CF27CFD"/>
    <w:rsid w:val="2DB9081B"/>
    <w:rsid w:val="2E3A1195"/>
    <w:rsid w:val="2E3B3926"/>
    <w:rsid w:val="2E484F4F"/>
    <w:rsid w:val="2EC20BCD"/>
    <w:rsid w:val="2EC211EA"/>
    <w:rsid w:val="2FC11C09"/>
    <w:rsid w:val="304765B2"/>
    <w:rsid w:val="30784247"/>
    <w:rsid w:val="30D23125"/>
    <w:rsid w:val="315A2315"/>
    <w:rsid w:val="328062C5"/>
    <w:rsid w:val="32B617CD"/>
    <w:rsid w:val="32C20171"/>
    <w:rsid w:val="32D54349"/>
    <w:rsid w:val="32F5491E"/>
    <w:rsid w:val="33354DE7"/>
    <w:rsid w:val="33907E8C"/>
    <w:rsid w:val="33E8735C"/>
    <w:rsid w:val="343E5F1E"/>
    <w:rsid w:val="347F2794"/>
    <w:rsid w:val="34884436"/>
    <w:rsid w:val="349E3D54"/>
    <w:rsid w:val="34A62CC8"/>
    <w:rsid w:val="371E0A02"/>
    <w:rsid w:val="381C797F"/>
    <w:rsid w:val="38926838"/>
    <w:rsid w:val="38AE3672"/>
    <w:rsid w:val="39002DFE"/>
    <w:rsid w:val="39FA6443"/>
    <w:rsid w:val="3A045513"/>
    <w:rsid w:val="3AA06FEA"/>
    <w:rsid w:val="3AB46F3A"/>
    <w:rsid w:val="3AE05CBA"/>
    <w:rsid w:val="3AE25855"/>
    <w:rsid w:val="3B18594C"/>
    <w:rsid w:val="3B924490"/>
    <w:rsid w:val="3B997DD0"/>
    <w:rsid w:val="3BE15B0C"/>
    <w:rsid w:val="3C07622C"/>
    <w:rsid w:val="3C1423E3"/>
    <w:rsid w:val="3C1B5BAC"/>
    <w:rsid w:val="3C463BC1"/>
    <w:rsid w:val="3E720C9E"/>
    <w:rsid w:val="3EE37A50"/>
    <w:rsid w:val="3F0A35CC"/>
    <w:rsid w:val="3F1E3E33"/>
    <w:rsid w:val="3F9E5AC2"/>
    <w:rsid w:val="4048174B"/>
    <w:rsid w:val="405614B0"/>
    <w:rsid w:val="40E46B3F"/>
    <w:rsid w:val="410127AD"/>
    <w:rsid w:val="41197AF6"/>
    <w:rsid w:val="41612E9A"/>
    <w:rsid w:val="41662610"/>
    <w:rsid w:val="4168282C"/>
    <w:rsid w:val="41742F7F"/>
    <w:rsid w:val="41AA66E7"/>
    <w:rsid w:val="41DE4E43"/>
    <w:rsid w:val="424B3172"/>
    <w:rsid w:val="42725710"/>
    <w:rsid w:val="42C45840"/>
    <w:rsid w:val="43F81467"/>
    <w:rsid w:val="44562E10"/>
    <w:rsid w:val="448F3192"/>
    <w:rsid w:val="44A1408B"/>
    <w:rsid w:val="44A742AF"/>
    <w:rsid w:val="44C81693"/>
    <w:rsid w:val="466E2692"/>
    <w:rsid w:val="46C71DA3"/>
    <w:rsid w:val="47012E26"/>
    <w:rsid w:val="4763768D"/>
    <w:rsid w:val="48142270"/>
    <w:rsid w:val="48D367DD"/>
    <w:rsid w:val="4997611E"/>
    <w:rsid w:val="4A8A4377"/>
    <w:rsid w:val="4AA743C5"/>
    <w:rsid w:val="4B2E1B45"/>
    <w:rsid w:val="4C116F1B"/>
    <w:rsid w:val="4C6B6035"/>
    <w:rsid w:val="4C83676C"/>
    <w:rsid w:val="4CDD0016"/>
    <w:rsid w:val="4D0D45ED"/>
    <w:rsid w:val="4E7D5950"/>
    <w:rsid w:val="4F895E47"/>
    <w:rsid w:val="4F934F18"/>
    <w:rsid w:val="4FA76912"/>
    <w:rsid w:val="50463BC3"/>
    <w:rsid w:val="505418DC"/>
    <w:rsid w:val="50630D8E"/>
    <w:rsid w:val="507E7976"/>
    <w:rsid w:val="516910D1"/>
    <w:rsid w:val="51D5531F"/>
    <w:rsid w:val="52901701"/>
    <w:rsid w:val="530A3D39"/>
    <w:rsid w:val="54700F99"/>
    <w:rsid w:val="54FC26B7"/>
    <w:rsid w:val="553D1193"/>
    <w:rsid w:val="56C105BC"/>
    <w:rsid w:val="56EE00F5"/>
    <w:rsid w:val="5764628E"/>
    <w:rsid w:val="57A51342"/>
    <w:rsid w:val="57AB018F"/>
    <w:rsid w:val="586D0C2B"/>
    <w:rsid w:val="58C22182"/>
    <w:rsid w:val="593257A1"/>
    <w:rsid w:val="596F60AE"/>
    <w:rsid w:val="599022FF"/>
    <w:rsid w:val="59D2663D"/>
    <w:rsid w:val="59E049F9"/>
    <w:rsid w:val="59ED08EF"/>
    <w:rsid w:val="5A39766B"/>
    <w:rsid w:val="5A8272CD"/>
    <w:rsid w:val="5AC056CA"/>
    <w:rsid w:val="5B751975"/>
    <w:rsid w:val="5BCE7A03"/>
    <w:rsid w:val="5CC84710"/>
    <w:rsid w:val="5EC53368"/>
    <w:rsid w:val="602D6CC3"/>
    <w:rsid w:val="60C2565D"/>
    <w:rsid w:val="610572F8"/>
    <w:rsid w:val="61572249"/>
    <w:rsid w:val="619B6010"/>
    <w:rsid w:val="61F061FA"/>
    <w:rsid w:val="623600B0"/>
    <w:rsid w:val="624774C3"/>
    <w:rsid w:val="627E3805"/>
    <w:rsid w:val="62D8753A"/>
    <w:rsid w:val="62FD0BCE"/>
    <w:rsid w:val="63853D7F"/>
    <w:rsid w:val="63A07F6E"/>
    <w:rsid w:val="63B84D56"/>
    <w:rsid w:val="64065861"/>
    <w:rsid w:val="657667D3"/>
    <w:rsid w:val="65A45331"/>
    <w:rsid w:val="65BA4A36"/>
    <w:rsid w:val="661311B8"/>
    <w:rsid w:val="6672542F"/>
    <w:rsid w:val="672030DD"/>
    <w:rsid w:val="67424E02"/>
    <w:rsid w:val="67801DCE"/>
    <w:rsid w:val="67FC1454"/>
    <w:rsid w:val="68CA15F7"/>
    <w:rsid w:val="69023EE9"/>
    <w:rsid w:val="69A84119"/>
    <w:rsid w:val="6A7774B8"/>
    <w:rsid w:val="6AB04778"/>
    <w:rsid w:val="6B6C4B43"/>
    <w:rsid w:val="6B820737"/>
    <w:rsid w:val="6C1578A5"/>
    <w:rsid w:val="6DAF0041"/>
    <w:rsid w:val="6EB02F99"/>
    <w:rsid w:val="6EB20ABF"/>
    <w:rsid w:val="6EC1311E"/>
    <w:rsid w:val="6FD9207B"/>
    <w:rsid w:val="6FF375E1"/>
    <w:rsid w:val="708E182F"/>
    <w:rsid w:val="71272553"/>
    <w:rsid w:val="71CF7BDA"/>
    <w:rsid w:val="72AC7F1B"/>
    <w:rsid w:val="7314244A"/>
    <w:rsid w:val="734168B5"/>
    <w:rsid w:val="747C35A9"/>
    <w:rsid w:val="747E5633"/>
    <w:rsid w:val="752D2B8E"/>
    <w:rsid w:val="75B82733"/>
    <w:rsid w:val="76065B94"/>
    <w:rsid w:val="7675103A"/>
    <w:rsid w:val="76996286"/>
    <w:rsid w:val="76BA0E58"/>
    <w:rsid w:val="7752732D"/>
    <w:rsid w:val="77593166"/>
    <w:rsid w:val="776112D4"/>
    <w:rsid w:val="77912E40"/>
    <w:rsid w:val="77C47AB5"/>
    <w:rsid w:val="79147DDA"/>
    <w:rsid w:val="79782A19"/>
    <w:rsid w:val="79EC7DDC"/>
    <w:rsid w:val="7B6C0247"/>
    <w:rsid w:val="7BBF0CBF"/>
    <w:rsid w:val="7BFB59C6"/>
    <w:rsid w:val="7C086208"/>
    <w:rsid w:val="7C174657"/>
    <w:rsid w:val="7CB4634A"/>
    <w:rsid w:val="7CC3637C"/>
    <w:rsid w:val="7CED3690"/>
    <w:rsid w:val="7D311748"/>
    <w:rsid w:val="7D4B0E10"/>
    <w:rsid w:val="7DB67EA0"/>
    <w:rsid w:val="7E325778"/>
    <w:rsid w:val="7EAC2B50"/>
    <w:rsid w:val="7EEF5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Plain Text"/>
    <w:basedOn w:val="1"/>
    <w:qFormat/>
    <w:uiPriority w:val="0"/>
    <w:rPr>
      <w:rFonts w:ascii="宋体" w:hAnsi="Courier New"/>
      <w:sz w:val="21"/>
    </w:rPr>
  </w:style>
  <w:style w:type="paragraph" w:styleId="8">
    <w:name w:val="Body Text Indent 2"/>
    <w:basedOn w:val="1"/>
    <w:qFormat/>
    <w:uiPriority w:val="0"/>
    <w:pPr>
      <w:snapToGrid w:val="0"/>
      <w:spacing w:line="560" w:lineRule="atLeast"/>
      <w:ind w:firstLine="540"/>
    </w:p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customStyle="1" w:styleId="1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9"/>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9">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Heading3"/>
    <w:basedOn w:val="1"/>
    <w:next w:val="1"/>
    <w:qFormat/>
    <w:uiPriority w:val="0"/>
    <w:pPr>
      <w:keepNext/>
      <w:keepLines/>
      <w:spacing w:before="260" w:after="260" w:line="412" w:lineRule="auto"/>
    </w:pPr>
    <w:rPr>
      <w:b/>
      <w:bCs/>
      <w:sz w:val="32"/>
      <w:szCs w:val="32"/>
    </w:rPr>
  </w:style>
  <w:style w:type="paragraph" w:customStyle="1" w:styleId="21">
    <w:name w:val="信息部正文"/>
    <w:basedOn w:val="1"/>
    <w:qFormat/>
    <w:uiPriority w:val="0"/>
    <w:pPr>
      <w:ind w:firstLine="480" w:firstLineChars="200"/>
    </w:pPr>
    <w:rPr>
      <w:rFonts w:ascii="宋体" w:hAnsi="宋体" w:cs="宋体"/>
    </w:rPr>
  </w:style>
  <w:style w:type="character" w:customStyle="1" w:styleId="22">
    <w:name w:val="页眉 字符"/>
    <w:basedOn w:val="16"/>
    <w:link w:val="10"/>
    <w:qFormat/>
    <w:uiPriority w:val="0"/>
    <w:rPr>
      <w:kern w:val="2"/>
      <w:sz w:val="18"/>
      <w:szCs w:val="18"/>
    </w:rPr>
  </w:style>
  <w:style w:type="character" w:customStyle="1" w:styleId="23">
    <w:name w:val="页脚 字符"/>
    <w:basedOn w:val="16"/>
    <w:link w:val="9"/>
    <w:qFormat/>
    <w:uiPriority w:val="0"/>
    <w:rPr>
      <w:kern w:val="2"/>
      <w:sz w:val="18"/>
      <w:szCs w:val="18"/>
    </w:rPr>
  </w:style>
  <w:style w:type="paragraph" w:styleId="24">
    <w:name w:val="List Paragraph"/>
    <w:basedOn w:val="1"/>
    <w:qFormat/>
    <w:uiPriority w:val="99"/>
    <w:pPr>
      <w:ind w:firstLine="420" w:firstLineChars="200"/>
    </w:pPr>
  </w:style>
  <w:style w:type="paragraph" w:customStyle="1" w:styleId="25">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3732</Words>
  <Characters>3872</Characters>
  <Lines>18</Lines>
  <Paragraphs>5</Paragraphs>
  <TotalTime>47</TotalTime>
  <ScaleCrop>false</ScaleCrop>
  <LinksUpToDate>false</LinksUpToDate>
  <CharactersWithSpaces>3873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2025-05-08T06:27:00Z</dcterms:created>
  <dc:creator>丹姐</dc:creator>
  <cp:lastModifiedBy>航</cp:lastModifiedBy>
  <cp:lastPrinted>2026-05-18T02:41:00Z</cp:lastPrinted>
  <dcterms:modified xsi:type="dcterms:W3CDTF">2026-05-20T08:12:54Z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FD1313687428441AB89592C8D73C5A79_13</vt:lpwstr>
  </property>
  <property fmtid="{D5CDD505-2E9C-101B-9397-08002B2CF9AE}" pid="4" name="KSOTemplateDocerSaveRecord">
    <vt:lpwstr>eyJoZGlkIjoiY2Y4Njg0NGFmMzgwOWY1MjIxY2RhNmQ5MDY0NGQxMDUiLCJ1c2VySWQiOiI0MzM3MDk0NTkifQ==</vt:lpwstr>
  </property>
</Properties>
</file>