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BA7E8">
      <w:pPr>
        <w:widowControl/>
        <w:shd w:val="clear" w:color="auto" w:fill="FFFFFF"/>
        <w:spacing w:line="500" w:lineRule="exact"/>
        <w:jc w:val="center"/>
        <w:rPr>
          <w:rFonts w:eastAsia="方正仿宋_GBK" w:cs="宋体" w:asciiTheme="minorHAnsi" w:hAnsiTheme="minorHAnsi"/>
          <w:b/>
          <w:bCs/>
          <w:color w:val="auto"/>
          <w:kern w:val="0"/>
          <w:sz w:val="32"/>
          <w:szCs w:val="32"/>
          <w:highlight w:val="none"/>
        </w:rPr>
      </w:pPr>
    </w:p>
    <w:p w14:paraId="3A803D62">
      <w:pPr>
        <w:widowControl/>
        <w:shd w:val="clear" w:color="auto" w:fill="FFFFFF"/>
        <w:spacing w:line="500" w:lineRule="exact"/>
        <w:rPr>
          <w:rFonts w:ascii="方正仿宋_GBK" w:hAnsi="宋体" w:eastAsia="方正仿宋_GBK" w:cs="宋体"/>
          <w:b/>
          <w:bCs/>
          <w:color w:val="auto"/>
          <w:kern w:val="0"/>
          <w:sz w:val="32"/>
          <w:szCs w:val="32"/>
          <w:highlight w:val="none"/>
        </w:rPr>
      </w:pPr>
    </w:p>
    <w:p w14:paraId="1867F526">
      <w:pPr>
        <w:widowControl/>
        <w:shd w:val="clear" w:color="auto" w:fill="FFFFFF"/>
        <w:spacing w:line="500" w:lineRule="exact"/>
        <w:jc w:val="center"/>
        <w:rPr>
          <w:rFonts w:ascii="方正仿宋_GBK" w:hAnsi="宋体" w:eastAsia="方正仿宋_GBK" w:cs="宋体"/>
          <w:b/>
          <w:bCs/>
          <w:color w:val="auto"/>
          <w:kern w:val="0"/>
          <w:sz w:val="32"/>
          <w:szCs w:val="32"/>
          <w:highlight w:val="none"/>
        </w:rPr>
      </w:pPr>
    </w:p>
    <w:p w14:paraId="7068CC5A">
      <w:pPr>
        <w:jc w:val="center"/>
        <w:rPr>
          <w:rFonts w:ascii="宋体" w:hAnsi="宋体" w:cs="宋体"/>
          <w:b/>
          <w:bCs/>
          <w:color w:val="auto"/>
          <w:spacing w:val="80"/>
          <w:sz w:val="260"/>
          <w:szCs w:val="260"/>
          <w:highlight w:val="none"/>
        </w:rPr>
      </w:pPr>
      <w:r>
        <w:rPr>
          <w:rFonts w:hint="eastAsia" w:ascii="宋体" w:hAnsi="宋体" w:cs="宋体"/>
          <w:b/>
          <w:bCs/>
          <w:color w:val="auto"/>
          <w:sz w:val="96"/>
          <w:szCs w:val="56"/>
          <w:highlight w:val="none"/>
          <w:lang w:eastAsia="zh-CN"/>
        </w:rPr>
        <w:t>询比</w:t>
      </w:r>
      <w:r>
        <w:rPr>
          <w:rFonts w:hint="eastAsia" w:ascii="宋体" w:hAnsi="宋体" w:cs="宋体"/>
          <w:b/>
          <w:bCs/>
          <w:color w:val="auto"/>
          <w:sz w:val="96"/>
          <w:szCs w:val="56"/>
          <w:highlight w:val="none"/>
        </w:rPr>
        <w:t>文件</w:t>
      </w:r>
    </w:p>
    <w:p w14:paraId="641D7F7A">
      <w:pPr>
        <w:spacing w:line="700" w:lineRule="exact"/>
        <w:ind w:left="3196" w:leftChars="570" w:hanging="1600" w:hangingChars="500"/>
        <w:jc w:val="center"/>
        <w:rPr>
          <w:rFonts w:ascii="宋体" w:hAnsi="宋体" w:cs="宋体"/>
          <w:color w:val="auto"/>
          <w:sz w:val="32"/>
          <w:szCs w:val="32"/>
          <w:highlight w:val="none"/>
        </w:rPr>
      </w:pPr>
    </w:p>
    <w:p w14:paraId="4C977B98">
      <w:pPr>
        <w:spacing w:line="700" w:lineRule="exact"/>
        <w:ind w:left="3196" w:leftChars="570" w:hanging="1600" w:hangingChars="500"/>
        <w:jc w:val="center"/>
        <w:rPr>
          <w:rFonts w:ascii="宋体" w:hAnsi="宋体" w:cs="宋体"/>
          <w:color w:val="auto"/>
          <w:sz w:val="32"/>
          <w:szCs w:val="32"/>
          <w:highlight w:val="none"/>
        </w:rPr>
      </w:pPr>
    </w:p>
    <w:p w14:paraId="63268F1E">
      <w:pPr>
        <w:spacing w:line="700" w:lineRule="exact"/>
        <w:ind w:left="3196" w:leftChars="570" w:hanging="1600" w:hangingChars="500"/>
        <w:jc w:val="center"/>
        <w:rPr>
          <w:rFonts w:ascii="宋体" w:hAnsi="宋体" w:cs="宋体"/>
          <w:color w:val="auto"/>
          <w:sz w:val="32"/>
          <w:szCs w:val="32"/>
          <w:highlight w:val="none"/>
        </w:rPr>
      </w:pPr>
    </w:p>
    <w:p w14:paraId="60D516FF">
      <w:pPr>
        <w:spacing w:line="700" w:lineRule="exact"/>
        <w:ind w:left="3196" w:leftChars="570" w:hanging="1600" w:hangingChars="500"/>
        <w:jc w:val="center"/>
        <w:rPr>
          <w:rFonts w:ascii="宋体" w:hAnsi="宋体" w:cs="宋体"/>
          <w:color w:val="auto"/>
          <w:sz w:val="32"/>
          <w:szCs w:val="32"/>
          <w:highlight w:val="none"/>
        </w:rPr>
      </w:pPr>
    </w:p>
    <w:p w14:paraId="11DE764C">
      <w:pPr>
        <w:pStyle w:val="11"/>
        <w:keepNext w:val="0"/>
        <w:keepLines w:val="0"/>
        <w:widowControl/>
        <w:suppressLineNumbers w:val="0"/>
        <w:jc w:val="center"/>
        <w:rPr>
          <w:rFonts w:hint="default" w:ascii="宋体" w:hAnsi="宋体" w:eastAsia="宋体" w:cs="宋体"/>
          <w:b/>
          <w:bCs/>
          <w:color w:val="auto"/>
          <w:kern w:val="0"/>
          <w:sz w:val="40"/>
          <w:szCs w:val="40"/>
          <w:highlight w:val="none"/>
          <w:lang w:val="en-US" w:eastAsia="zh-CN"/>
        </w:rPr>
      </w:pPr>
      <w:r>
        <w:rPr>
          <w:rFonts w:hint="eastAsia" w:ascii="宋体" w:hAnsi="宋体" w:cs="宋体"/>
          <w:b/>
          <w:bCs/>
          <w:color w:val="auto"/>
          <w:kern w:val="0"/>
          <w:sz w:val="40"/>
          <w:szCs w:val="40"/>
          <w:highlight w:val="none"/>
        </w:rPr>
        <w:t>项目名称:</w:t>
      </w:r>
      <w:r>
        <w:rPr>
          <w:rFonts w:hint="eastAsia"/>
          <w:color w:val="auto"/>
          <w:highlight w:val="none"/>
        </w:rPr>
        <w:t xml:space="preserve"> </w:t>
      </w:r>
      <w:r>
        <w:rPr>
          <w:rFonts w:hint="eastAsia" w:ascii="宋体" w:hAnsi="宋体" w:cs="宋体"/>
          <w:b/>
          <w:bCs/>
          <w:color w:val="auto"/>
          <w:kern w:val="0"/>
          <w:sz w:val="40"/>
          <w:szCs w:val="40"/>
          <w:highlight w:val="none"/>
          <w:lang w:val="en-US" w:eastAsia="zh-CN"/>
        </w:rPr>
        <w:t>欠款合同专项清理审查工作</w:t>
      </w:r>
    </w:p>
    <w:p w14:paraId="4FEB74A8">
      <w:pPr>
        <w:widowControl/>
        <w:shd w:val="clear" w:color="auto" w:fill="FFFFFF"/>
        <w:spacing w:line="500" w:lineRule="exact"/>
        <w:jc w:val="center"/>
        <w:rPr>
          <w:rFonts w:hint="eastAsia" w:ascii="宋体" w:hAnsi="宋体" w:cs="宋体"/>
          <w:b/>
          <w:bCs/>
          <w:color w:val="auto"/>
          <w:kern w:val="0"/>
          <w:sz w:val="40"/>
          <w:szCs w:val="40"/>
          <w:highlight w:val="none"/>
        </w:rPr>
      </w:pPr>
    </w:p>
    <w:p w14:paraId="7B334E3C">
      <w:pPr>
        <w:pStyle w:val="6"/>
        <w:rPr>
          <w:rFonts w:hint="eastAsia" w:ascii="宋体" w:hAnsi="宋体" w:cs="宋体"/>
          <w:b/>
          <w:bCs/>
          <w:color w:val="auto"/>
          <w:kern w:val="0"/>
          <w:sz w:val="40"/>
          <w:szCs w:val="40"/>
          <w:highlight w:val="none"/>
        </w:rPr>
      </w:pPr>
    </w:p>
    <w:p w14:paraId="55FFCE6E">
      <w:pPr>
        <w:rPr>
          <w:rFonts w:hint="eastAsia"/>
          <w:color w:val="auto"/>
          <w:highlight w:val="none"/>
        </w:rPr>
      </w:pPr>
    </w:p>
    <w:p w14:paraId="7DA3A363">
      <w:pPr>
        <w:widowControl/>
        <w:shd w:val="clear" w:color="auto" w:fill="FFFFFF"/>
        <w:spacing w:line="500" w:lineRule="exact"/>
        <w:ind w:firstLine="803" w:firstLineChars="200"/>
        <w:jc w:val="center"/>
        <w:rPr>
          <w:rFonts w:ascii="宋体" w:hAnsi="宋体" w:cs="宋体"/>
          <w:b/>
          <w:bCs/>
          <w:color w:val="auto"/>
          <w:kern w:val="0"/>
          <w:sz w:val="40"/>
          <w:szCs w:val="40"/>
          <w:highlight w:val="none"/>
        </w:rPr>
      </w:pPr>
      <w:r>
        <w:rPr>
          <w:rFonts w:hint="eastAsia" w:ascii="宋体" w:hAnsi="宋体" w:cs="宋体"/>
          <w:b/>
          <w:bCs/>
          <w:color w:val="auto"/>
          <w:kern w:val="0"/>
          <w:sz w:val="40"/>
          <w:szCs w:val="40"/>
          <w:highlight w:val="none"/>
        </w:rPr>
        <w:t>采购人：重庆市文物考古研究院(重庆文化遗产保护中心)</w:t>
      </w:r>
    </w:p>
    <w:p w14:paraId="58EE6803">
      <w:pPr>
        <w:widowControl/>
        <w:shd w:val="clear" w:color="auto" w:fill="FFFFFF"/>
        <w:spacing w:line="500" w:lineRule="exact"/>
        <w:jc w:val="center"/>
        <w:rPr>
          <w:rFonts w:ascii="宋体" w:hAnsi="宋体" w:cs="宋体"/>
          <w:b/>
          <w:bCs/>
          <w:color w:val="auto"/>
          <w:kern w:val="0"/>
          <w:sz w:val="32"/>
          <w:szCs w:val="32"/>
          <w:highlight w:val="none"/>
        </w:rPr>
      </w:pPr>
    </w:p>
    <w:p w14:paraId="051DBCD7">
      <w:pPr>
        <w:widowControl/>
        <w:shd w:val="clear" w:color="auto" w:fill="FFFFFF"/>
        <w:spacing w:line="500" w:lineRule="exact"/>
        <w:jc w:val="center"/>
        <w:rPr>
          <w:rFonts w:ascii="宋体" w:hAnsi="宋体" w:cs="宋体"/>
          <w:b/>
          <w:bCs/>
          <w:color w:val="auto"/>
          <w:kern w:val="0"/>
          <w:sz w:val="32"/>
          <w:szCs w:val="32"/>
          <w:highlight w:val="none"/>
        </w:rPr>
      </w:pPr>
    </w:p>
    <w:p w14:paraId="27085A05">
      <w:pPr>
        <w:widowControl/>
        <w:shd w:val="clear" w:color="auto" w:fill="FFFFFF"/>
        <w:spacing w:line="500" w:lineRule="exact"/>
        <w:ind w:firstLine="643" w:firstLineChars="20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二〇二</w:t>
      </w:r>
      <w:r>
        <w:rPr>
          <w:rFonts w:hint="eastAsia" w:ascii="宋体" w:hAnsi="宋体" w:cs="宋体"/>
          <w:b/>
          <w:bCs/>
          <w:color w:val="auto"/>
          <w:kern w:val="0"/>
          <w:sz w:val="32"/>
          <w:szCs w:val="32"/>
          <w:highlight w:val="none"/>
          <w:lang w:val="en-US" w:eastAsia="zh-CN"/>
        </w:rPr>
        <w:t>六</w:t>
      </w:r>
      <w:r>
        <w:rPr>
          <w:rFonts w:hint="eastAsia" w:ascii="宋体" w:hAnsi="宋体" w:cs="宋体"/>
          <w:b/>
          <w:bCs/>
          <w:color w:val="auto"/>
          <w:kern w:val="0"/>
          <w:sz w:val="32"/>
          <w:szCs w:val="32"/>
          <w:highlight w:val="none"/>
        </w:rPr>
        <w:t>年</w:t>
      </w:r>
      <w:r>
        <w:rPr>
          <w:rFonts w:hint="eastAsia" w:ascii="宋体" w:hAnsi="宋体" w:cs="宋体"/>
          <w:b/>
          <w:bCs/>
          <w:color w:val="auto"/>
          <w:kern w:val="0"/>
          <w:sz w:val="32"/>
          <w:szCs w:val="32"/>
          <w:highlight w:val="none"/>
          <w:lang w:val="en-US" w:eastAsia="zh-CN"/>
        </w:rPr>
        <w:t>六</w:t>
      </w:r>
      <w:r>
        <w:rPr>
          <w:rFonts w:hint="eastAsia" w:ascii="宋体" w:hAnsi="宋体" w:cs="宋体"/>
          <w:b/>
          <w:bCs/>
          <w:color w:val="auto"/>
          <w:kern w:val="0"/>
          <w:sz w:val="32"/>
          <w:szCs w:val="32"/>
          <w:highlight w:val="none"/>
        </w:rPr>
        <w:t>月</w:t>
      </w:r>
    </w:p>
    <w:p w14:paraId="4A1BC014">
      <w:pPr>
        <w:widowControl/>
        <w:shd w:val="clear" w:color="auto" w:fill="FFFFFF"/>
        <w:spacing w:line="500" w:lineRule="exact"/>
        <w:jc w:val="center"/>
        <w:rPr>
          <w:rFonts w:ascii="宋体" w:hAnsi="宋体" w:cs="宋体"/>
          <w:b/>
          <w:bCs/>
          <w:color w:val="auto"/>
          <w:kern w:val="0"/>
          <w:sz w:val="32"/>
          <w:szCs w:val="32"/>
          <w:highlight w:val="none"/>
        </w:rPr>
      </w:pPr>
    </w:p>
    <w:p w14:paraId="38B610B7">
      <w:pPr>
        <w:widowControl/>
        <w:shd w:val="clear" w:color="auto" w:fill="FFFFFF"/>
        <w:spacing w:line="500" w:lineRule="exact"/>
        <w:jc w:val="center"/>
        <w:rPr>
          <w:rFonts w:ascii="宋体" w:hAnsi="宋体" w:cs="宋体"/>
          <w:b/>
          <w:bCs/>
          <w:color w:val="auto"/>
          <w:kern w:val="0"/>
          <w:sz w:val="32"/>
          <w:szCs w:val="32"/>
          <w:highlight w:val="none"/>
        </w:rPr>
      </w:pPr>
    </w:p>
    <w:p w14:paraId="4E14BBAA">
      <w:pPr>
        <w:rPr>
          <w:color w:val="auto"/>
          <w:highlight w:val="none"/>
        </w:rPr>
        <w:sectPr>
          <w:pgSz w:w="11906" w:h="16838"/>
          <w:pgMar w:top="1984" w:right="1446" w:bottom="1644" w:left="1446" w:header="851" w:footer="992" w:gutter="0"/>
          <w:cols w:space="425" w:num="1"/>
          <w:docGrid w:type="lines" w:linePitch="312" w:charSpace="0"/>
        </w:sectPr>
      </w:pPr>
    </w:p>
    <w:p w14:paraId="47B9AEC2">
      <w:pPr>
        <w:pageBreakBefore w:val="0"/>
        <w:widowControl/>
        <w:shd w:val="clear" w:color="auto" w:fill="FFFFFF"/>
        <w:kinsoku/>
        <w:wordWrap/>
        <w:overflowPunct/>
        <w:topLinePunct w:val="0"/>
        <w:bidi w:val="0"/>
        <w:snapToGrid w:val="0"/>
        <w:spacing w:line="288" w:lineRule="auto"/>
        <w:jc w:val="center"/>
        <w:textAlignment w:val="auto"/>
        <w:rPr>
          <w:rFonts w:ascii="宋体" w:hAnsi="宋体" w:cs="宋体"/>
          <w:b/>
          <w:bCs/>
          <w:color w:val="auto"/>
          <w:kern w:val="0"/>
          <w:sz w:val="40"/>
          <w:szCs w:val="40"/>
          <w:highlight w:val="none"/>
        </w:rPr>
      </w:pPr>
      <w:r>
        <w:rPr>
          <w:rFonts w:hint="eastAsia" w:ascii="宋体" w:hAnsi="宋体" w:cs="宋体"/>
          <w:b/>
          <w:bCs/>
          <w:color w:val="auto"/>
          <w:kern w:val="0"/>
          <w:sz w:val="40"/>
          <w:szCs w:val="40"/>
          <w:highlight w:val="none"/>
          <w:lang w:eastAsia="zh-CN"/>
        </w:rPr>
        <w:t>询比</w:t>
      </w:r>
      <w:r>
        <w:rPr>
          <w:rFonts w:hint="eastAsia" w:ascii="宋体" w:hAnsi="宋体" w:cs="宋体"/>
          <w:b/>
          <w:bCs/>
          <w:color w:val="auto"/>
          <w:kern w:val="0"/>
          <w:sz w:val="40"/>
          <w:szCs w:val="40"/>
          <w:highlight w:val="none"/>
        </w:rPr>
        <w:t>公告</w:t>
      </w:r>
    </w:p>
    <w:p w14:paraId="1C208ACF">
      <w:pPr>
        <w:pStyle w:val="24"/>
        <w:pageBreakBefore w:val="0"/>
        <w:widowControl/>
        <w:numPr>
          <w:ilvl w:val="0"/>
          <w:numId w:val="0"/>
        </w:numPr>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default" w:ascii="宋体" w:hAnsi="宋体" w:eastAsia="宋体" w:cs="宋体"/>
          <w:color w:val="auto"/>
          <w:kern w:val="0"/>
          <w:sz w:val="24"/>
          <w:szCs w:val="24"/>
          <w:highlight w:val="none"/>
          <w:lang w:val="en-US" w:eastAsia="zh-CN" w:bidi="ar-SA"/>
        </w:rPr>
        <w:t>一、</w:t>
      </w:r>
      <w:r>
        <w:rPr>
          <w:rFonts w:hint="eastAsia" w:ascii="宋体" w:hAnsi="宋体" w:cs="宋体"/>
          <w:b/>
          <w:bCs/>
          <w:color w:val="auto"/>
          <w:kern w:val="0"/>
          <w:sz w:val="24"/>
          <w:szCs w:val="24"/>
          <w:highlight w:val="none"/>
        </w:rPr>
        <w:t>服务内容</w:t>
      </w:r>
    </w:p>
    <w:p w14:paraId="6CBC780B">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对本院已完结但存在欠款的合同开展专项清理审查，</w:t>
      </w:r>
      <w:r>
        <w:rPr>
          <w:rFonts w:hint="eastAsia" w:ascii="宋体" w:hAnsi="宋体" w:cs="宋体"/>
          <w:color w:val="auto"/>
          <w:kern w:val="0"/>
          <w:sz w:val="24"/>
          <w:szCs w:val="24"/>
          <w:highlight w:val="none"/>
          <w:lang w:val="en-US" w:eastAsia="zh-CN"/>
        </w:rPr>
        <w:t>合同共计145个，</w:t>
      </w:r>
      <w:r>
        <w:rPr>
          <w:rFonts w:hint="eastAsia" w:ascii="宋体" w:hAnsi="宋体" w:cs="宋体"/>
          <w:color w:val="auto"/>
          <w:kern w:val="0"/>
          <w:sz w:val="24"/>
          <w:szCs w:val="24"/>
          <w:highlight w:val="none"/>
        </w:rPr>
        <w:t>全面排查法律与催收风险，分类处置欠款事项，出具专业法律意见，降低合同纠纷与资金损失，完善合同管理长效机制。</w:t>
      </w:r>
    </w:p>
    <w:p w14:paraId="40C428DC">
      <w:pPr>
        <w:pStyle w:val="24"/>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b/>
          <w:bCs/>
          <w:color w:val="auto"/>
          <w:kern w:val="0"/>
          <w:sz w:val="24"/>
          <w:szCs w:val="24"/>
          <w:highlight w:val="none"/>
        </w:rPr>
      </w:pPr>
      <w:r>
        <w:rPr>
          <w:rFonts w:hint="eastAsia" w:ascii="宋体" w:hAnsi="宋体" w:cs="宋体"/>
          <w:color w:val="auto"/>
          <w:kern w:val="0"/>
          <w:sz w:val="24"/>
          <w:szCs w:val="24"/>
          <w:highlight w:val="none"/>
        </w:rPr>
        <w:t>二、</w:t>
      </w:r>
      <w:r>
        <w:rPr>
          <w:rFonts w:hint="eastAsia" w:ascii="宋体" w:hAnsi="宋体" w:cs="宋体"/>
          <w:b/>
          <w:bCs/>
          <w:color w:val="auto"/>
          <w:kern w:val="0"/>
          <w:sz w:val="24"/>
          <w:szCs w:val="24"/>
          <w:highlight w:val="none"/>
        </w:rPr>
        <w:t>采购最高限价</w:t>
      </w:r>
    </w:p>
    <w:p w14:paraId="01C976CF">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人民币</w:t>
      </w:r>
      <w:r>
        <w:rPr>
          <w:rFonts w:hint="eastAsia" w:ascii="宋体" w:hAnsi="宋体" w:cs="宋体"/>
          <w:color w:val="auto"/>
          <w:kern w:val="0"/>
          <w:sz w:val="24"/>
          <w:szCs w:val="24"/>
          <w:highlight w:val="none"/>
          <w:lang w:val="en-US" w:eastAsia="zh-CN"/>
        </w:rPr>
        <w:t>48000.00元</w:t>
      </w:r>
      <w:r>
        <w:rPr>
          <w:rFonts w:hint="eastAsia" w:ascii="宋体" w:hAnsi="宋体" w:cs="宋体"/>
          <w:color w:val="auto"/>
          <w:kern w:val="0"/>
          <w:sz w:val="24"/>
          <w:szCs w:val="24"/>
          <w:highlight w:val="none"/>
        </w:rPr>
        <w:t>，大写：</w:t>
      </w:r>
      <w:r>
        <w:rPr>
          <w:rFonts w:hint="eastAsia" w:ascii="宋体" w:hAnsi="宋体" w:cs="宋体"/>
          <w:color w:val="auto"/>
          <w:kern w:val="0"/>
          <w:sz w:val="24"/>
          <w:szCs w:val="24"/>
          <w:highlight w:val="none"/>
          <w:lang w:val="en-US" w:eastAsia="zh-CN"/>
        </w:rPr>
        <w:t>肆万捌仟元整</w:t>
      </w:r>
      <w:r>
        <w:rPr>
          <w:rFonts w:hint="eastAsia" w:ascii="宋体" w:hAnsi="宋体" w:cs="宋体"/>
          <w:color w:val="auto"/>
          <w:kern w:val="0"/>
          <w:sz w:val="24"/>
          <w:szCs w:val="24"/>
          <w:highlight w:val="none"/>
        </w:rPr>
        <w:t>。</w:t>
      </w:r>
    </w:p>
    <w:p w14:paraId="530F80B4">
      <w:pPr>
        <w:pageBreakBefore w:val="0"/>
        <w:widowControl/>
        <w:shd w:val="clear" w:color="auto" w:fill="FFFFFF"/>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color w:val="auto"/>
          <w:kern w:val="0"/>
          <w:sz w:val="24"/>
          <w:szCs w:val="24"/>
          <w:highlight w:val="none"/>
        </w:rPr>
      </w:pPr>
      <w:r>
        <w:rPr>
          <w:rFonts w:hint="eastAsia" w:ascii="宋体" w:hAnsi="宋体" w:cs="宋体"/>
          <w:b/>
          <w:bCs/>
          <w:color w:val="auto"/>
          <w:kern w:val="0"/>
          <w:sz w:val="24"/>
          <w:szCs w:val="24"/>
          <w:highlight w:val="none"/>
        </w:rPr>
        <w:t>三、技术要求</w:t>
      </w:r>
    </w:p>
    <w:p w14:paraId="4F395910">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一</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 xml:space="preserve">审查范围 </w:t>
      </w:r>
    </w:p>
    <w:p w14:paraId="646E1EE8">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覆盖清理本院已完结、存在欠款的合同共145个，含履约纠纷、逾期未履行、法律关系复杂合同及补充、变更、解除等关联协议。 </w:t>
      </w:r>
    </w:p>
    <w:p w14:paraId="7A671DF8">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二</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 xml:space="preserve">工作内容 </w:t>
      </w:r>
    </w:p>
    <w:p w14:paraId="0F7B7B57">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1.资料核验：核对合同及附件真实、完整、有效。 </w:t>
      </w:r>
    </w:p>
    <w:p w14:paraId="38439B1E">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2.风险排查：梳理欠款、逾期情况、法律障碍、催收难点。 </w:t>
      </w:r>
    </w:p>
    <w:p w14:paraId="492E0A96">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3.分类处置：按可协商催收、需发函催告、应诉讼仲裁分类。 </w:t>
      </w:r>
    </w:p>
    <w:p w14:paraId="37133AE0">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4.出具意见：提供催收方案、法律风险提示、处置路径建议。 </w:t>
      </w:r>
    </w:p>
    <w:p w14:paraId="251F169A">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5.建立整改台账：明确问题、责任、时限，闭环整改。</w:t>
      </w:r>
    </w:p>
    <w:p w14:paraId="39E7C9D9">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（三）工作要求 </w:t>
      </w:r>
    </w:p>
    <w:p w14:paraId="5D03099C">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1.中标律所高效推进、严格保密、确保成果合规专业。 </w:t>
      </w:r>
    </w:p>
    <w:p w14:paraId="7A33AA15">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2.审查全程留痕，问题整改到位。</w:t>
      </w:r>
    </w:p>
    <w:p w14:paraId="5727663E">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（四）工作成果 </w:t>
      </w:r>
    </w:p>
    <w:p w14:paraId="2F2FE2CE">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1.欠款合同清理审查总报告（含分类清单、风险台账）。 </w:t>
      </w:r>
    </w:p>
    <w:p w14:paraId="6D5712A4">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2.分类催收与法律处置建议。 </w:t>
      </w:r>
    </w:p>
    <w:p w14:paraId="6D9E8E44">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3.合同管理优化与风险防控长效建议。 </w:t>
      </w:r>
    </w:p>
    <w:p w14:paraId="5884FA9B">
      <w:pPr>
        <w:pStyle w:val="11"/>
        <w:keepNext w:val="0"/>
        <w:keepLines w:val="0"/>
        <w:pageBreakBefore w:val="0"/>
        <w:widowControl/>
        <w:suppressLineNumbers w:val="0"/>
        <w:kinsoku/>
        <w:wordWrap/>
        <w:overflowPunct/>
        <w:topLinePunct w:val="0"/>
        <w:bidi w:val="0"/>
        <w:adjustRightInd w:val="0"/>
        <w:snapToGrid w:val="0"/>
        <w:spacing w:beforeAutospacing="0" w:afterAutospacing="0" w:line="288" w:lineRule="auto"/>
        <w:ind w:left="0" w:firstLine="480" w:firstLineChars="200"/>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4.需诉讼案件，按一事一案另行委托。</w:t>
      </w:r>
    </w:p>
    <w:p w14:paraId="2347BAFC">
      <w:pPr>
        <w:pageBreakBefore w:val="0"/>
        <w:widowControl/>
        <w:shd w:val="clear" w:color="auto" w:fill="FFFFFF"/>
        <w:kinsoku/>
        <w:wordWrap/>
        <w:overflowPunct/>
        <w:topLinePunct w:val="0"/>
        <w:bidi w:val="0"/>
        <w:adjustRightInd w:val="0"/>
        <w:snapToGrid w:val="0"/>
        <w:spacing w:beforeAutospacing="0" w:afterAutospacing="0" w:line="288" w:lineRule="auto"/>
        <w:ind w:left="238" w:leftChars="85"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四、供应商资格要求</w:t>
      </w:r>
    </w:p>
    <w:p w14:paraId="65C64D58">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1.具有独立承担民事责任能力；</w:t>
      </w:r>
    </w:p>
    <w:p w14:paraId="35DBB21E">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2.具有良好商业信誉；</w:t>
      </w:r>
    </w:p>
    <w:p w14:paraId="1D18BA6F">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6139E488">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3FF2808E">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5.参与政府采购活动前三年，在经营过程中无重大违法记录；</w:t>
      </w:r>
    </w:p>
    <w:p w14:paraId="13759B53">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6.法律、行政法规规定的其它条件。</w:t>
      </w:r>
    </w:p>
    <w:p w14:paraId="25449AA6">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7.特定资格条件：</w:t>
      </w:r>
      <w:r>
        <w:rPr>
          <w:rFonts w:hint="eastAsia" w:ascii="宋体" w:hAnsi="宋体" w:cs="宋体"/>
          <w:color w:val="auto"/>
          <w:sz w:val="24"/>
          <w:szCs w:val="24"/>
          <w:highlight w:val="none"/>
          <w:lang w:val="en-US" w:eastAsia="zh-CN"/>
        </w:rPr>
        <w:t>律师事务所执业许可证（提供复印件加盖供应商鲜章）</w:t>
      </w:r>
    </w:p>
    <w:p w14:paraId="23FEB0EC">
      <w:pPr>
        <w:pageBreakBefore w:val="0"/>
        <w:widowControl/>
        <w:shd w:val="clear" w:color="auto" w:fill="FFFFFF"/>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五、采购服务约定</w:t>
      </w:r>
    </w:p>
    <w:p w14:paraId="0CCEA9E7">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1.服务周期</w:t>
      </w:r>
    </w:p>
    <w:p w14:paraId="3932A9C7">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合同签订后</w:t>
      </w:r>
      <w:r>
        <w:rPr>
          <w:rFonts w:hint="eastAsia" w:ascii="宋体" w:hAnsi="宋体" w:cs="宋体"/>
          <w:color w:val="auto"/>
          <w:kern w:val="0"/>
          <w:sz w:val="24"/>
          <w:szCs w:val="24"/>
          <w:highlight w:val="none"/>
          <w:lang w:val="en-US" w:eastAsia="zh-CN"/>
        </w:rPr>
        <w:t>90</w:t>
      </w:r>
      <w:r>
        <w:rPr>
          <w:rFonts w:hint="eastAsia" w:ascii="宋体" w:hAnsi="宋体" w:cs="宋体"/>
          <w:color w:val="auto"/>
          <w:kern w:val="0"/>
          <w:sz w:val="24"/>
          <w:szCs w:val="24"/>
          <w:highlight w:val="none"/>
        </w:rPr>
        <w:t>日内完成全部</w:t>
      </w:r>
      <w:r>
        <w:rPr>
          <w:rFonts w:hint="eastAsia" w:ascii="宋体" w:hAnsi="宋体" w:cs="宋体"/>
          <w:color w:val="auto"/>
          <w:kern w:val="0"/>
          <w:sz w:val="24"/>
          <w:szCs w:val="24"/>
          <w:highlight w:val="none"/>
          <w:lang w:val="en-US" w:eastAsia="zh-CN"/>
        </w:rPr>
        <w:t>工作，并</w:t>
      </w:r>
      <w:r>
        <w:rPr>
          <w:rFonts w:hint="eastAsia" w:ascii="宋体" w:hAnsi="宋体" w:cs="宋体"/>
          <w:color w:val="auto"/>
          <w:kern w:val="0"/>
          <w:sz w:val="24"/>
          <w:szCs w:val="24"/>
          <w:highlight w:val="none"/>
        </w:rPr>
        <w:t>通过我院验收。</w:t>
      </w:r>
    </w:p>
    <w:p w14:paraId="7CBCEC0E">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2.服务地点</w:t>
      </w:r>
    </w:p>
    <w:p w14:paraId="178B6C36">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服务地点：</w:t>
      </w:r>
      <w:r>
        <w:rPr>
          <w:rFonts w:hint="eastAsia" w:ascii="宋体" w:hAnsi="宋体" w:cs="宋体"/>
          <w:color w:val="auto"/>
          <w:sz w:val="24"/>
          <w:szCs w:val="24"/>
          <w:highlight w:val="none"/>
        </w:rPr>
        <w:t>我院</w:t>
      </w:r>
      <w:r>
        <w:rPr>
          <w:rFonts w:hint="eastAsia" w:ascii="宋体" w:hAnsi="宋体" w:cs="宋体"/>
          <w:color w:val="auto"/>
          <w:kern w:val="0"/>
          <w:sz w:val="24"/>
          <w:szCs w:val="24"/>
          <w:highlight w:val="none"/>
        </w:rPr>
        <w:t>指定地点。</w:t>
      </w:r>
    </w:p>
    <w:p w14:paraId="262E456A">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3.验收方式：</w:t>
      </w:r>
    </w:p>
    <w:p w14:paraId="680555FD">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通过甲方组织的验收。</w:t>
      </w:r>
    </w:p>
    <w:p w14:paraId="59EA6ED2">
      <w:pPr>
        <w:pageBreakBefore w:val="0"/>
        <w:widowControl/>
        <w:shd w:val="clear" w:color="auto" w:fill="FFFFFF"/>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六、报价要求及成交原则</w:t>
      </w:r>
    </w:p>
    <w:p w14:paraId="217A337F">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1.报价要求：</w:t>
      </w:r>
    </w:p>
    <w:p w14:paraId="017D4925">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次报价须为人民币报价，包含服务费、工作人员工资、交通运输、后勤用品、技材、不可预见、安全措施、税费、运杂费、保险费、验收、等所有费用。因成交供应商自身原因造成漏报、少报皆由其自行承担责任，</w:t>
      </w:r>
      <w:r>
        <w:rPr>
          <w:rFonts w:hint="eastAsia" w:ascii="宋体" w:hAnsi="宋体" w:cs="宋体"/>
          <w:color w:val="auto"/>
          <w:sz w:val="24"/>
          <w:szCs w:val="24"/>
          <w:highlight w:val="none"/>
        </w:rPr>
        <w:t>我院</w:t>
      </w:r>
      <w:r>
        <w:rPr>
          <w:rFonts w:hint="eastAsia" w:ascii="宋体" w:hAnsi="宋体" w:cs="宋体"/>
          <w:color w:val="auto"/>
          <w:kern w:val="0"/>
          <w:sz w:val="24"/>
          <w:szCs w:val="24"/>
          <w:highlight w:val="none"/>
        </w:rPr>
        <w:t>不再补偿。</w:t>
      </w:r>
    </w:p>
    <w:p w14:paraId="715145BE">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2.成交原则</w:t>
      </w:r>
    </w:p>
    <w:p w14:paraId="5C75E869">
      <w:pPr>
        <w:pageBreakBefore w:val="0"/>
        <w:widowControl/>
        <w:shd w:val="clear" w:color="auto" w:fill="FFFFFF"/>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在符合本次采购要求、质量和服务的前提下，按</w:t>
      </w:r>
      <w:r>
        <w:rPr>
          <w:rFonts w:hint="eastAsia" w:ascii="宋体" w:hAnsi="宋体" w:cs="宋体"/>
          <w:color w:val="auto"/>
          <w:sz w:val="24"/>
          <w:szCs w:val="24"/>
          <w:highlight w:val="none"/>
          <w:lang w:val="en-US" w:eastAsia="zh-CN"/>
        </w:rPr>
        <w:t>综合评分</w:t>
      </w:r>
      <w:r>
        <w:rPr>
          <w:rFonts w:hint="eastAsia" w:ascii="宋体" w:hAnsi="宋体" w:cs="宋体"/>
          <w:color w:val="auto"/>
          <w:sz w:val="24"/>
          <w:szCs w:val="24"/>
          <w:highlight w:val="none"/>
        </w:rPr>
        <w:t>法确定成交供应商。</w:t>
      </w:r>
    </w:p>
    <w:p w14:paraId="10F7485B">
      <w:pPr>
        <w:pStyle w:val="25"/>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3.评审标准</w:t>
      </w:r>
    </w:p>
    <w:p w14:paraId="533E5494">
      <w:pPr>
        <w:pageBreakBefore w:val="0"/>
        <w:kinsoku/>
        <w:wordWrap/>
        <w:overflowPunct/>
        <w:topLinePunct w:val="0"/>
        <w:bidi w:val="0"/>
        <w:adjustRightInd w:val="0"/>
        <w:snapToGrid w:val="0"/>
        <w:spacing w:beforeAutospacing="0" w:afterAutospacing="0" w:line="288" w:lineRule="auto"/>
        <w:textAlignment w:val="auto"/>
        <w:rPr>
          <w:rFonts w:hint="eastAsia" w:hAnsi="宋体" w:cs="宋体"/>
          <w:color w:val="auto"/>
          <w:sz w:val="24"/>
          <w:szCs w:val="24"/>
          <w:highlight w:val="none"/>
          <w:lang w:val="en-US" w:eastAsia="zh-CN"/>
        </w:rPr>
      </w:pPr>
    </w:p>
    <w:tbl>
      <w:tblPr>
        <w:tblStyle w:val="14"/>
        <w:tblW w:w="47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155"/>
        <w:gridCol w:w="676"/>
        <w:gridCol w:w="4536"/>
        <w:gridCol w:w="1889"/>
      </w:tblGrid>
      <w:tr w14:paraId="2D6F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22" w:type="dxa"/>
            <w:vAlign w:val="center"/>
          </w:tcPr>
          <w:p w14:paraId="50A30175">
            <w:pPr>
              <w:pageBreakBefore w:val="0"/>
              <w:kinsoku/>
              <w:wordWrap/>
              <w:overflowPunct/>
              <w:topLinePunct w:val="0"/>
              <w:bidi w:val="0"/>
              <w:adjustRightInd w:val="0"/>
              <w:snapToGrid w:val="0"/>
              <w:spacing w:beforeAutospacing="0" w:afterAutospacing="0" w:line="288" w:lineRule="auto"/>
              <w:ind w:firstLine="28"/>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155" w:type="dxa"/>
            <w:vAlign w:val="center"/>
          </w:tcPr>
          <w:p w14:paraId="2BBB4596">
            <w:pPr>
              <w:pageBreakBefore w:val="0"/>
              <w:kinsoku/>
              <w:wordWrap/>
              <w:overflowPunct/>
              <w:topLinePunct w:val="0"/>
              <w:bidi w:val="0"/>
              <w:adjustRightInd w:val="0"/>
              <w:snapToGrid w:val="0"/>
              <w:spacing w:beforeAutospacing="0" w:afterAutospacing="0" w:line="288" w:lineRule="auto"/>
              <w:ind w:firstLine="28"/>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评分因素及权值</w:t>
            </w:r>
          </w:p>
        </w:tc>
        <w:tc>
          <w:tcPr>
            <w:tcW w:w="676" w:type="dxa"/>
            <w:vAlign w:val="center"/>
          </w:tcPr>
          <w:p w14:paraId="647D5A4D">
            <w:pPr>
              <w:pageBreakBefore w:val="0"/>
              <w:kinsoku/>
              <w:wordWrap/>
              <w:overflowPunct/>
              <w:topLinePunct w:val="0"/>
              <w:bidi w:val="0"/>
              <w:adjustRightInd w:val="0"/>
              <w:snapToGrid w:val="0"/>
              <w:spacing w:beforeAutospacing="0" w:afterAutospacing="0" w:line="288" w:lineRule="auto"/>
              <w:ind w:firstLine="28"/>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分值</w:t>
            </w:r>
          </w:p>
        </w:tc>
        <w:tc>
          <w:tcPr>
            <w:tcW w:w="4536" w:type="dxa"/>
            <w:vAlign w:val="center"/>
          </w:tcPr>
          <w:p w14:paraId="630F00D6">
            <w:pPr>
              <w:pageBreakBefore w:val="0"/>
              <w:kinsoku/>
              <w:wordWrap/>
              <w:overflowPunct/>
              <w:topLinePunct w:val="0"/>
              <w:bidi w:val="0"/>
              <w:adjustRightInd w:val="0"/>
              <w:snapToGrid w:val="0"/>
              <w:spacing w:beforeAutospacing="0" w:afterAutospacing="0" w:line="288" w:lineRule="auto"/>
              <w:ind w:firstLine="28"/>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评分标准</w:t>
            </w:r>
          </w:p>
        </w:tc>
        <w:tc>
          <w:tcPr>
            <w:tcW w:w="1889" w:type="dxa"/>
            <w:vAlign w:val="center"/>
          </w:tcPr>
          <w:p w14:paraId="6A04A898">
            <w:pPr>
              <w:pageBreakBefore w:val="0"/>
              <w:kinsoku/>
              <w:wordWrap/>
              <w:overflowPunct/>
              <w:topLinePunct w:val="0"/>
              <w:bidi w:val="0"/>
              <w:adjustRightInd w:val="0"/>
              <w:snapToGrid w:val="0"/>
              <w:spacing w:beforeAutospacing="0" w:afterAutospacing="0" w:line="288" w:lineRule="auto"/>
              <w:ind w:firstLine="28"/>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说明</w:t>
            </w:r>
          </w:p>
        </w:tc>
      </w:tr>
      <w:tr w14:paraId="62C9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522" w:type="dxa"/>
            <w:vAlign w:val="center"/>
          </w:tcPr>
          <w:p w14:paraId="77DDAB66">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155" w:type="dxa"/>
            <w:vAlign w:val="center"/>
          </w:tcPr>
          <w:p w14:paraId="14DED634">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磋商报价（</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w:t>
            </w:r>
          </w:p>
        </w:tc>
        <w:tc>
          <w:tcPr>
            <w:tcW w:w="676" w:type="dxa"/>
            <w:vAlign w:val="center"/>
          </w:tcPr>
          <w:p w14:paraId="1652D881">
            <w:pPr>
              <w:pageBreakBefore w:val="0"/>
              <w:kinsoku/>
              <w:wordWrap/>
              <w:overflowPunct/>
              <w:topLinePunct w:val="0"/>
              <w:bidi w:val="0"/>
              <w:adjustRightInd w:val="0"/>
              <w:snapToGrid w:val="0"/>
              <w:spacing w:beforeAutospacing="0" w:afterAutospacing="0" w:line="288" w:lineRule="auto"/>
              <w:ind w:firstLine="28"/>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0分</w:t>
            </w:r>
          </w:p>
        </w:tc>
        <w:tc>
          <w:tcPr>
            <w:tcW w:w="4536" w:type="dxa"/>
            <w:vAlign w:val="center"/>
          </w:tcPr>
          <w:p w14:paraId="3595F7D6">
            <w:pPr>
              <w:pageBreakBefore w:val="0"/>
              <w:kinsoku/>
              <w:wordWrap/>
              <w:overflowPunct/>
              <w:topLinePunct w:val="0"/>
              <w:bidi w:val="0"/>
              <w:adjustRightInd w:val="0"/>
              <w:snapToGrid w:val="0"/>
              <w:spacing w:beforeAutospacing="0" w:afterAutospacing="0" w:line="288" w:lineRule="auto"/>
              <w:ind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满足资格性、符合性要求且最后报价最低的供应商的价格为磋商基准价，其价格分为满分。其他供应商的价格分统一按照下列公式计算每个供应商的报价得分。</w:t>
            </w:r>
          </w:p>
          <w:p w14:paraId="61959FA1">
            <w:pPr>
              <w:pageBreakBefore w:val="0"/>
              <w:kinsoku/>
              <w:wordWrap/>
              <w:overflowPunct/>
              <w:topLinePunct w:val="0"/>
              <w:bidi w:val="0"/>
              <w:adjustRightInd w:val="0"/>
              <w:snapToGrid w:val="0"/>
              <w:spacing w:beforeAutospacing="0" w:afterAutospacing="0" w:line="288" w:lineRule="auto"/>
              <w:ind w:firstLine="420"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磋商报价得分=（磋商基准价/最后磋商报价）×价格权值×100</w:t>
            </w:r>
          </w:p>
        </w:tc>
        <w:tc>
          <w:tcPr>
            <w:tcW w:w="1889" w:type="dxa"/>
            <w:vAlign w:val="center"/>
          </w:tcPr>
          <w:p w14:paraId="71C80D6B">
            <w:pPr>
              <w:pageBreakBefore w:val="0"/>
              <w:kinsoku/>
              <w:wordWrap/>
              <w:overflowPunct/>
              <w:topLinePunct w:val="0"/>
              <w:bidi w:val="0"/>
              <w:adjustRightInd w:val="0"/>
              <w:snapToGrid w:val="0"/>
              <w:spacing w:beforeAutospacing="0" w:afterAutospacing="0" w:line="288" w:lineRule="auto"/>
              <w:ind w:firstLine="28"/>
              <w:jc w:val="both"/>
              <w:textAlignment w:val="auto"/>
              <w:rPr>
                <w:rFonts w:hint="eastAsia" w:asciiTheme="minorEastAsia" w:hAnsiTheme="minorEastAsia" w:eastAsiaTheme="minorEastAsia" w:cstheme="minorEastAsia"/>
                <w:color w:val="auto"/>
                <w:sz w:val="21"/>
                <w:szCs w:val="21"/>
                <w:highlight w:val="none"/>
              </w:rPr>
            </w:pPr>
          </w:p>
        </w:tc>
      </w:tr>
      <w:tr w14:paraId="0E61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6" w:hRule="atLeast"/>
          <w:jc w:val="center"/>
        </w:trPr>
        <w:tc>
          <w:tcPr>
            <w:tcW w:w="522" w:type="dxa"/>
            <w:vMerge w:val="restart"/>
            <w:shd w:val="clear" w:color="auto" w:fill="auto"/>
            <w:vAlign w:val="center"/>
          </w:tcPr>
          <w:p w14:paraId="3ADCE2E8">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w:t>
            </w:r>
          </w:p>
        </w:tc>
        <w:tc>
          <w:tcPr>
            <w:tcW w:w="1155" w:type="dxa"/>
            <w:vMerge w:val="restart"/>
            <w:shd w:val="clear" w:color="auto" w:fill="auto"/>
            <w:vAlign w:val="center"/>
          </w:tcPr>
          <w:p w14:paraId="4364A43F">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服务部分</w:t>
            </w:r>
          </w:p>
          <w:p w14:paraId="4173216E">
            <w:pPr>
              <w:pageBreakBefore w:val="0"/>
              <w:kinsoku/>
              <w:wordWrap/>
              <w:overflowPunct/>
              <w:topLinePunct w:val="0"/>
              <w:bidi w:val="0"/>
              <w:adjustRightInd w:val="0"/>
              <w:snapToGrid w:val="0"/>
              <w:spacing w:beforeAutospacing="0" w:afterAutospacing="0" w:line="288"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（50%）</w:t>
            </w:r>
          </w:p>
        </w:tc>
        <w:tc>
          <w:tcPr>
            <w:tcW w:w="676" w:type="dxa"/>
            <w:shd w:val="clear" w:color="auto" w:fill="auto"/>
            <w:vAlign w:val="center"/>
          </w:tcPr>
          <w:p w14:paraId="3739A2A8">
            <w:pPr>
              <w:keepNext w:val="0"/>
              <w:keepLines w:val="0"/>
              <w:pageBreakBefore w:val="0"/>
              <w:widowControl w:val="0"/>
              <w:kinsoku/>
              <w:wordWrap/>
              <w:overflowPunct/>
              <w:topLinePunct w:val="0"/>
              <w:autoSpaceDE/>
              <w:autoSpaceDN/>
              <w:bidi w:val="0"/>
              <w:adjustRightInd/>
              <w:snapToGrid w:val="0"/>
              <w:textAlignment w:val="auto"/>
              <w:rPr>
                <w:rFonts w:hint="default"/>
                <w:color w:val="auto"/>
                <w:sz w:val="21"/>
                <w:szCs w:val="21"/>
                <w:lang w:val="en-US" w:eastAsia="zh-CN"/>
              </w:rPr>
            </w:pPr>
            <w:r>
              <w:rPr>
                <w:rFonts w:hint="default"/>
                <w:color w:val="auto"/>
                <w:sz w:val="21"/>
                <w:szCs w:val="21"/>
                <w:lang w:val="en-US" w:eastAsia="zh-CN"/>
              </w:rPr>
              <w:t>整体服务方案</w:t>
            </w:r>
          </w:p>
          <w:p w14:paraId="4EB801D0">
            <w:pPr>
              <w:keepNext w:val="0"/>
              <w:keepLines w:val="0"/>
              <w:pageBreakBefore w:val="0"/>
              <w:widowControl w:val="0"/>
              <w:kinsoku/>
              <w:wordWrap/>
              <w:overflowPunct/>
              <w:topLinePunct w:val="0"/>
              <w:autoSpaceDE/>
              <w:autoSpaceDN/>
              <w:bidi w:val="0"/>
              <w:adjustRightInd/>
              <w:snapToGrid w:val="0"/>
              <w:textAlignment w:val="auto"/>
              <w:rPr>
                <w:rFonts w:hint="default"/>
                <w:color w:val="auto"/>
                <w:sz w:val="21"/>
                <w:szCs w:val="21"/>
                <w:lang w:val="en-US" w:eastAsia="zh-CN"/>
              </w:rPr>
            </w:pPr>
            <w:r>
              <w:rPr>
                <w:rFonts w:hint="default"/>
                <w:color w:val="auto"/>
                <w:sz w:val="21"/>
                <w:szCs w:val="21"/>
                <w:lang w:val="en-US" w:eastAsia="zh-CN"/>
              </w:rPr>
              <w:t>（</w:t>
            </w:r>
            <w:r>
              <w:rPr>
                <w:rFonts w:hint="eastAsia"/>
                <w:color w:val="auto"/>
                <w:sz w:val="21"/>
                <w:szCs w:val="21"/>
                <w:lang w:val="en-US" w:eastAsia="zh-CN"/>
              </w:rPr>
              <w:t>20</w:t>
            </w:r>
            <w:r>
              <w:rPr>
                <w:rFonts w:hint="default"/>
                <w:color w:val="auto"/>
                <w:sz w:val="21"/>
                <w:szCs w:val="21"/>
                <w:lang w:val="en-US" w:eastAsia="zh-CN"/>
              </w:rPr>
              <w:t>分）</w:t>
            </w:r>
          </w:p>
          <w:p w14:paraId="27B90EEB">
            <w:pPr>
              <w:keepNext w:val="0"/>
              <w:keepLines w:val="0"/>
              <w:pageBreakBefore w:val="0"/>
              <w:widowControl w:val="0"/>
              <w:kinsoku/>
              <w:wordWrap/>
              <w:overflowPunct/>
              <w:topLinePunct w:val="0"/>
              <w:autoSpaceDE/>
              <w:autoSpaceDN/>
              <w:bidi w:val="0"/>
              <w:adjustRightInd/>
              <w:snapToGrid w:val="0"/>
              <w:textAlignment w:val="auto"/>
              <w:rPr>
                <w:rFonts w:hint="default"/>
                <w:color w:val="auto"/>
                <w:sz w:val="21"/>
                <w:szCs w:val="21"/>
                <w:lang w:val="en-US" w:eastAsia="zh-CN"/>
              </w:rPr>
            </w:pPr>
          </w:p>
        </w:tc>
        <w:tc>
          <w:tcPr>
            <w:tcW w:w="4536" w:type="dxa"/>
            <w:shd w:val="clear" w:color="auto" w:fill="auto"/>
            <w:vAlign w:val="center"/>
          </w:tcPr>
          <w:p w14:paraId="0CFA6B60">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供应商根据本项目服务内容提供整体服务方案，包含检查流程、队伍管理、人员培训、工作规范、信息报告等内容。</w:t>
            </w:r>
          </w:p>
          <w:p w14:paraId="59AEB098">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rPr>
              <w:t>方案内方案包含上述所有</w:t>
            </w:r>
            <w:r>
              <w:rPr>
                <w:rFonts w:hint="eastAsia"/>
                <w:color w:val="auto"/>
                <w:sz w:val="21"/>
                <w:szCs w:val="21"/>
                <w:lang w:val="en-US" w:eastAsia="zh-CN"/>
              </w:rPr>
              <w:t>内容</w:t>
            </w:r>
            <w:r>
              <w:rPr>
                <w:rFonts w:hint="eastAsia"/>
                <w:color w:val="auto"/>
                <w:sz w:val="21"/>
                <w:szCs w:val="21"/>
              </w:rPr>
              <w:t>，且对各</w:t>
            </w:r>
            <w:r>
              <w:rPr>
                <w:rFonts w:hint="eastAsia"/>
                <w:color w:val="auto"/>
                <w:sz w:val="21"/>
                <w:szCs w:val="21"/>
                <w:lang w:val="en-US" w:eastAsia="zh-CN"/>
              </w:rPr>
              <w:t>单项内容</w:t>
            </w:r>
            <w:r>
              <w:rPr>
                <w:rFonts w:hint="eastAsia"/>
                <w:color w:val="auto"/>
                <w:sz w:val="21"/>
                <w:szCs w:val="21"/>
              </w:rPr>
              <w:t>均有描述</w:t>
            </w:r>
            <w:r>
              <w:rPr>
                <w:rFonts w:hint="eastAsia"/>
                <w:color w:val="auto"/>
                <w:sz w:val="21"/>
                <w:szCs w:val="21"/>
                <w:lang w:eastAsia="zh-CN"/>
              </w:rPr>
              <w:t>，</w:t>
            </w:r>
            <w:r>
              <w:rPr>
                <w:rFonts w:hint="eastAsia"/>
                <w:color w:val="auto"/>
                <w:sz w:val="21"/>
                <w:szCs w:val="21"/>
                <w:lang w:val="en-US" w:eastAsia="zh-CN"/>
              </w:rPr>
              <w:t>方案内容完备、可行的得20分，</w:t>
            </w:r>
          </w:p>
          <w:p w14:paraId="63F3C44D">
            <w:pPr>
              <w:keepNext w:val="0"/>
              <w:keepLines w:val="0"/>
              <w:pageBreakBefore w:val="0"/>
              <w:widowControl w:val="0"/>
              <w:kinsoku/>
              <w:wordWrap/>
              <w:overflowPunct/>
              <w:topLinePunct w:val="0"/>
              <w:autoSpaceDE/>
              <w:autoSpaceDN/>
              <w:bidi w:val="0"/>
              <w:adjustRightInd/>
              <w:snapToGrid w:val="0"/>
              <w:textAlignment w:val="auto"/>
              <w:rPr>
                <w:rFonts w:hint="default"/>
                <w:color w:val="auto"/>
                <w:sz w:val="21"/>
                <w:szCs w:val="21"/>
                <w:lang w:val="en-US" w:eastAsia="zh-CN"/>
              </w:rPr>
            </w:pPr>
            <w:r>
              <w:rPr>
                <w:rFonts w:hint="eastAsia"/>
                <w:color w:val="auto"/>
                <w:sz w:val="21"/>
                <w:szCs w:val="21"/>
                <w:lang w:val="en-US" w:eastAsia="zh-CN"/>
              </w:rPr>
              <w:t>方案内容每存在1处瑕疵扣4分，扣完该项得分为止。</w:t>
            </w:r>
          </w:p>
        </w:tc>
        <w:tc>
          <w:tcPr>
            <w:tcW w:w="1889" w:type="dxa"/>
            <w:vMerge w:val="restart"/>
            <w:shd w:val="clear" w:color="auto" w:fill="auto"/>
            <w:vAlign w:val="center"/>
          </w:tcPr>
          <w:p w14:paraId="2681308D">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1.根据投标人提供的方案进行评分。</w:t>
            </w:r>
          </w:p>
          <w:p w14:paraId="2F81696C">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2.评分标准中所称的“瑕疵”指以下任意一种情形：</w:t>
            </w:r>
          </w:p>
          <w:p w14:paraId="624694BC">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①内容表述不完整或仅有标题而无实质意义叙述；</w:t>
            </w:r>
          </w:p>
          <w:p w14:paraId="7424C352">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②计划及措施不科学合理；</w:t>
            </w:r>
          </w:p>
          <w:p w14:paraId="747E3962">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③内容表述前后矛盾、无连贯性、内容存在逻辑漏洞；</w:t>
            </w:r>
          </w:p>
          <w:p w14:paraId="10D7B2EF">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④常识性错误；</w:t>
            </w:r>
          </w:p>
          <w:p w14:paraId="114CE686">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⑤措施安排并不适用本项目特性；</w:t>
            </w:r>
          </w:p>
          <w:p w14:paraId="5E37133A">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rPr>
              <w:t>⑥方案中提出的措施举措不利于本项目目标的实现；</w:t>
            </w:r>
          </w:p>
          <w:p w14:paraId="67FFA5F6">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rPr>
              <w:t>⑦现有技术条件下不可能实现采购目标。</w:t>
            </w:r>
          </w:p>
        </w:tc>
      </w:tr>
      <w:tr w14:paraId="1463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jc w:val="center"/>
        </w:trPr>
        <w:tc>
          <w:tcPr>
            <w:tcW w:w="522" w:type="dxa"/>
            <w:vMerge w:val="continue"/>
            <w:vAlign w:val="center"/>
          </w:tcPr>
          <w:p w14:paraId="49453EE3">
            <w:pPr>
              <w:pageBreakBefore w:val="0"/>
              <w:kinsoku/>
              <w:wordWrap/>
              <w:overflowPunct/>
              <w:topLinePunct w:val="0"/>
              <w:bidi w:val="0"/>
              <w:adjustRightInd w:val="0"/>
              <w:snapToGrid w:val="0"/>
              <w:spacing w:beforeAutospacing="0" w:afterAutospacing="0" w:line="288" w:lineRule="auto"/>
              <w:ind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p>
        </w:tc>
        <w:tc>
          <w:tcPr>
            <w:tcW w:w="1155" w:type="dxa"/>
            <w:vMerge w:val="continue"/>
            <w:vAlign w:val="center"/>
          </w:tcPr>
          <w:p w14:paraId="4FCE1F0E">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i w:val="0"/>
                <w:iCs w:val="0"/>
                <w:color w:val="auto"/>
                <w:sz w:val="21"/>
                <w:szCs w:val="21"/>
                <w:highlight w:val="none"/>
              </w:rPr>
            </w:pPr>
          </w:p>
        </w:tc>
        <w:tc>
          <w:tcPr>
            <w:tcW w:w="676" w:type="dxa"/>
            <w:shd w:val="clear" w:color="auto" w:fill="auto"/>
            <w:vAlign w:val="center"/>
          </w:tcPr>
          <w:p w14:paraId="6E3E5519">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lang w:val="en-US" w:eastAsia="zh-CN"/>
              </w:rPr>
              <w:t>项目质量保障措施（20分）</w:t>
            </w:r>
          </w:p>
        </w:tc>
        <w:tc>
          <w:tcPr>
            <w:tcW w:w="4536" w:type="dxa"/>
            <w:shd w:val="clear" w:color="auto" w:fill="auto"/>
            <w:vAlign w:val="center"/>
          </w:tcPr>
          <w:p w14:paraId="6455A2CA">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供应商根据本项目服务内容提供项目质量保障措施，包含项目质量保障措施，项目进度方案，对本项目的特点分析及优化方案等内容。</w:t>
            </w:r>
          </w:p>
          <w:p w14:paraId="2D031948">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rPr>
              <w:t>方案内方案包含上述所有</w:t>
            </w:r>
            <w:r>
              <w:rPr>
                <w:rFonts w:hint="eastAsia"/>
                <w:color w:val="auto"/>
                <w:sz w:val="21"/>
                <w:szCs w:val="21"/>
                <w:lang w:val="en-US" w:eastAsia="zh-CN"/>
              </w:rPr>
              <w:t>内容</w:t>
            </w:r>
            <w:r>
              <w:rPr>
                <w:rFonts w:hint="eastAsia"/>
                <w:color w:val="auto"/>
                <w:sz w:val="21"/>
                <w:szCs w:val="21"/>
              </w:rPr>
              <w:t>，且对各</w:t>
            </w:r>
            <w:r>
              <w:rPr>
                <w:rFonts w:hint="eastAsia"/>
                <w:color w:val="auto"/>
                <w:sz w:val="21"/>
                <w:szCs w:val="21"/>
                <w:lang w:val="en-US" w:eastAsia="zh-CN"/>
              </w:rPr>
              <w:t>单项内容</w:t>
            </w:r>
            <w:r>
              <w:rPr>
                <w:rFonts w:hint="eastAsia"/>
                <w:color w:val="auto"/>
                <w:sz w:val="21"/>
                <w:szCs w:val="21"/>
              </w:rPr>
              <w:t>均有描述</w:t>
            </w:r>
            <w:r>
              <w:rPr>
                <w:rFonts w:hint="eastAsia"/>
                <w:color w:val="auto"/>
                <w:sz w:val="21"/>
                <w:szCs w:val="21"/>
                <w:lang w:eastAsia="zh-CN"/>
              </w:rPr>
              <w:t>，</w:t>
            </w:r>
            <w:r>
              <w:rPr>
                <w:rFonts w:hint="eastAsia"/>
                <w:color w:val="auto"/>
                <w:sz w:val="21"/>
                <w:szCs w:val="21"/>
                <w:lang w:val="en-US" w:eastAsia="zh-CN"/>
              </w:rPr>
              <w:t>方案内容完备、可行的得20分，</w:t>
            </w:r>
          </w:p>
          <w:p w14:paraId="17D6EAF4">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lang w:val="en-US" w:eastAsia="zh-CN"/>
              </w:rPr>
              <w:t>方案内容每存在1处瑕疵扣4分，扣完该项得分为止。</w:t>
            </w:r>
          </w:p>
        </w:tc>
        <w:tc>
          <w:tcPr>
            <w:tcW w:w="1889" w:type="dxa"/>
            <w:vMerge w:val="continue"/>
            <w:vAlign w:val="center"/>
          </w:tcPr>
          <w:p w14:paraId="3A3E4FC3">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p>
        </w:tc>
      </w:tr>
      <w:tr w14:paraId="2093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522" w:type="dxa"/>
            <w:vMerge w:val="continue"/>
            <w:vAlign w:val="center"/>
          </w:tcPr>
          <w:p w14:paraId="3CE75DE5">
            <w:pPr>
              <w:pageBreakBefore w:val="0"/>
              <w:kinsoku/>
              <w:wordWrap/>
              <w:overflowPunct/>
              <w:topLinePunct w:val="0"/>
              <w:bidi w:val="0"/>
              <w:adjustRightInd w:val="0"/>
              <w:snapToGrid w:val="0"/>
              <w:spacing w:beforeAutospacing="0" w:afterAutospacing="0" w:line="288" w:lineRule="auto"/>
              <w:ind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p>
        </w:tc>
        <w:tc>
          <w:tcPr>
            <w:tcW w:w="1155" w:type="dxa"/>
            <w:vMerge w:val="continue"/>
            <w:vAlign w:val="center"/>
          </w:tcPr>
          <w:p w14:paraId="7891FD31">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i w:val="0"/>
                <w:iCs w:val="0"/>
                <w:color w:val="auto"/>
                <w:sz w:val="21"/>
                <w:szCs w:val="21"/>
                <w:highlight w:val="none"/>
              </w:rPr>
            </w:pPr>
          </w:p>
        </w:tc>
        <w:tc>
          <w:tcPr>
            <w:tcW w:w="676" w:type="dxa"/>
            <w:shd w:val="clear" w:color="auto" w:fill="auto"/>
            <w:vAlign w:val="center"/>
          </w:tcPr>
          <w:p w14:paraId="31A8040B">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保密措施</w:t>
            </w:r>
          </w:p>
          <w:p w14:paraId="2446EA58">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lang w:val="en-US" w:eastAsia="zh-CN"/>
              </w:rPr>
              <w:t>（10分）</w:t>
            </w:r>
          </w:p>
        </w:tc>
        <w:tc>
          <w:tcPr>
            <w:tcW w:w="4536" w:type="dxa"/>
            <w:shd w:val="clear" w:color="auto" w:fill="auto"/>
            <w:vAlign w:val="center"/>
          </w:tcPr>
          <w:p w14:paraId="657D2F63">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zh-CN" w:eastAsia="zh-CN"/>
              </w:rPr>
              <w:t>供应商根据本项目服务内容提供</w:t>
            </w:r>
            <w:r>
              <w:rPr>
                <w:rFonts w:hint="eastAsia"/>
                <w:color w:val="auto"/>
                <w:sz w:val="21"/>
                <w:szCs w:val="21"/>
                <w:lang w:val="en-US" w:eastAsia="zh-CN"/>
              </w:rPr>
              <w:t>保密措施</w:t>
            </w:r>
            <w:r>
              <w:rPr>
                <w:rFonts w:hint="eastAsia"/>
                <w:color w:val="auto"/>
                <w:sz w:val="21"/>
                <w:szCs w:val="21"/>
                <w:lang w:val="zh-CN" w:eastAsia="zh-CN"/>
              </w:rPr>
              <w:t>，</w:t>
            </w:r>
            <w:r>
              <w:rPr>
                <w:rFonts w:hint="eastAsia"/>
                <w:color w:val="auto"/>
                <w:sz w:val="21"/>
                <w:szCs w:val="21"/>
                <w:lang w:val="en-US" w:eastAsia="zh-CN"/>
              </w:rPr>
              <w:t>包含对审核内容的保密制度，过程监控措施，风险评估与应对措施等内容。</w:t>
            </w:r>
          </w:p>
          <w:p w14:paraId="55EB837E">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rPr>
              <w:t>方案内方案包含上述所有</w:t>
            </w:r>
            <w:r>
              <w:rPr>
                <w:rFonts w:hint="eastAsia"/>
                <w:color w:val="auto"/>
                <w:sz w:val="21"/>
                <w:szCs w:val="21"/>
                <w:lang w:val="en-US" w:eastAsia="zh-CN"/>
              </w:rPr>
              <w:t>内容</w:t>
            </w:r>
            <w:r>
              <w:rPr>
                <w:rFonts w:hint="eastAsia"/>
                <w:color w:val="auto"/>
                <w:sz w:val="21"/>
                <w:szCs w:val="21"/>
              </w:rPr>
              <w:t>，且对各</w:t>
            </w:r>
            <w:r>
              <w:rPr>
                <w:rFonts w:hint="eastAsia"/>
                <w:color w:val="auto"/>
                <w:sz w:val="21"/>
                <w:szCs w:val="21"/>
                <w:lang w:val="en-US" w:eastAsia="zh-CN"/>
              </w:rPr>
              <w:t>单项内容</w:t>
            </w:r>
            <w:r>
              <w:rPr>
                <w:rFonts w:hint="eastAsia"/>
                <w:color w:val="auto"/>
                <w:sz w:val="21"/>
                <w:szCs w:val="21"/>
              </w:rPr>
              <w:t>均有描述</w:t>
            </w:r>
            <w:r>
              <w:rPr>
                <w:rFonts w:hint="eastAsia"/>
                <w:color w:val="auto"/>
                <w:sz w:val="21"/>
                <w:szCs w:val="21"/>
                <w:lang w:eastAsia="zh-CN"/>
              </w:rPr>
              <w:t>，</w:t>
            </w:r>
            <w:r>
              <w:rPr>
                <w:rFonts w:hint="eastAsia"/>
                <w:color w:val="auto"/>
                <w:sz w:val="21"/>
                <w:szCs w:val="21"/>
                <w:lang w:val="en-US" w:eastAsia="zh-CN"/>
              </w:rPr>
              <w:t>方案内容完备、可行的得10分，</w:t>
            </w:r>
          </w:p>
          <w:p w14:paraId="10622404">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r>
              <w:rPr>
                <w:rFonts w:hint="eastAsia"/>
                <w:color w:val="auto"/>
                <w:sz w:val="21"/>
                <w:szCs w:val="21"/>
                <w:lang w:val="en-US" w:eastAsia="zh-CN"/>
              </w:rPr>
              <w:t>方案内容每存在1处瑕疵扣2分，扣完该项得分为止。</w:t>
            </w:r>
          </w:p>
        </w:tc>
        <w:tc>
          <w:tcPr>
            <w:tcW w:w="1889" w:type="dxa"/>
            <w:vMerge w:val="continue"/>
            <w:vAlign w:val="center"/>
          </w:tcPr>
          <w:p w14:paraId="7EA1EDFF">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rPr>
            </w:pPr>
          </w:p>
        </w:tc>
      </w:tr>
      <w:tr w14:paraId="58D6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522" w:type="dxa"/>
            <w:vMerge w:val="restart"/>
            <w:shd w:val="clear" w:color="auto" w:fill="auto"/>
            <w:vAlign w:val="center"/>
          </w:tcPr>
          <w:p w14:paraId="1C1F3F4C">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155" w:type="dxa"/>
            <w:vMerge w:val="restart"/>
            <w:shd w:val="clear" w:color="auto" w:fill="auto"/>
            <w:vAlign w:val="center"/>
          </w:tcPr>
          <w:p w14:paraId="2B0ACC05">
            <w:pPr>
              <w:pageBreakBefore w:val="0"/>
              <w:kinsoku/>
              <w:wordWrap/>
              <w:overflowPunct/>
              <w:topLinePunct w:val="0"/>
              <w:bidi w:val="0"/>
              <w:adjustRightInd w:val="0"/>
              <w:snapToGrid w:val="0"/>
              <w:spacing w:beforeAutospacing="0" w:afterAutospacing="0" w:line="288" w:lineRule="auto"/>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商务部分（20%）</w:t>
            </w:r>
          </w:p>
        </w:tc>
        <w:tc>
          <w:tcPr>
            <w:tcW w:w="676" w:type="dxa"/>
            <w:shd w:val="clear" w:color="auto" w:fill="auto"/>
            <w:vAlign w:val="center"/>
          </w:tcPr>
          <w:p w14:paraId="4BF19DC9">
            <w:pPr>
              <w:keepNext w:val="0"/>
              <w:keepLines w:val="0"/>
              <w:pageBreakBefore w:val="0"/>
              <w:widowControl w:val="0"/>
              <w:kinsoku/>
              <w:wordWrap/>
              <w:overflowPunct/>
              <w:topLinePunct w:val="0"/>
              <w:autoSpaceDE/>
              <w:autoSpaceDN/>
              <w:bidi w:val="0"/>
              <w:adjustRightInd/>
              <w:snapToGrid w:val="0"/>
              <w:textAlignment w:val="auto"/>
              <w:rPr>
                <w:rFonts w:hint="default"/>
                <w:color w:val="auto"/>
                <w:sz w:val="21"/>
                <w:szCs w:val="21"/>
                <w:lang w:val="en-US" w:eastAsia="zh-CN"/>
              </w:rPr>
            </w:pPr>
            <w:r>
              <w:rPr>
                <w:rFonts w:hint="default"/>
                <w:color w:val="auto"/>
                <w:sz w:val="21"/>
                <w:szCs w:val="21"/>
                <w:lang w:val="en-US" w:eastAsia="zh-CN"/>
              </w:rPr>
              <w:t>人员配置（</w:t>
            </w:r>
            <w:r>
              <w:rPr>
                <w:rFonts w:hint="eastAsia"/>
                <w:color w:val="auto"/>
                <w:sz w:val="21"/>
                <w:szCs w:val="21"/>
                <w:lang w:val="en-US" w:eastAsia="zh-CN"/>
              </w:rPr>
              <w:t>10</w:t>
            </w:r>
            <w:r>
              <w:rPr>
                <w:rFonts w:hint="default"/>
                <w:color w:val="auto"/>
                <w:sz w:val="21"/>
                <w:szCs w:val="21"/>
                <w:lang w:val="en-US" w:eastAsia="zh-CN"/>
              </w:rPr>
              <w:t>分）</w:t>
            </w:r>
          </w:p>
        </w:tc>
        <w:tc>
          <w:tcPr>
            <w:tcW w:w="4536" w:type="dxa"/>
            <w:shd w:val="clear" w:color="auto" w:fill="auto"/>
            <w:vAlign w:val="center"/>
          </w:tcPr>
          <w:p w14:paraId="31DC3096">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zh-CN" w:eastAsia="zh-CN"/>
              </w:rPr>
              <w:t>拟投入本项目的</w:t>
            </w:r>
            <w:r>
              <w:rPr>
                <w:rFonts w:hint="eastAsia"/>
                <w:color w:val="auto"/>
                <w:sz w:val="21"/>
                <w:szCs w:val="21"/>
                <w:lang w:val="en-US" w:eastAsia="zh-CN"/>
              </w:rPr>
              <w:t>服务团队成员不少于5人，执业机构为供应商本单位。每提供一个具有法学相关专业硕士研究生及以上学历且具备律师执业证书的得2分，本项最高得10分</w:t>
            </w:r>
            <w:r>
              <w:rPr>
                <w:rFonts w:hint="eastAsia"/>
                <w:color w:val="auto"/>
                <w:sz w:val="21"/>
                <w:szCs w:val="21"/>
                <w:lang w:val="zh-CN" w:eastAsia="zh-CN"/>
              </w:rPr>
              <w:t>。</w:t>
            </w:r>
          </w:p>
        </w:tc>
        <w:tc>
          <w:tcPr>
            <w:tcW w:w="1889" w:type="dxa"/>
            <w:shd w:val="clear" w:color="auto" w:fill="auto"/>
            <w:vAlign w:val="center"/>
          </w:tcPr>
          <w:p w14:paraId="3ED7C524">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1.提供相关律师执业证书、学历证书复印件并加盖供应商公章。</w:t>
            </w:r>
          </w:p>
          <w:p w14:paraId="163DBDA3">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2.以上人员不可重复计分。</w:t>
            </w:r>
          </w:p>
          <w:p w14:paraId="7AB8E96B">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 xml:space="preserve"> 提供不完全者不得分。</w:t>
            </w:r>
          </w:p>
        </w:tc>
      </w:tr>
      <w:tr w14:paraId="3832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jc w:val="center"/>
        </w:trPr>
        <w:tc>
          <w:tcPr>
            <w:tcW w:w="522" w:type="dxa"/>
            <w:vMerge w:val="continue"/>
            <w:shd w:val="clear" w:color="auto" w:fill="auto"/>
            <w:vAlign w:val="center"/>
          </w:tcPr>
          <w:p w14:paraId="79543B2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p>
        </w:tc>
        <w:tc>
          <w:tcPr>
            <w:tcW w:w="1155" w:type="dxa"/>
            <w:vMerge w:val="continue"/>
            <w:shd w:val="clear" w:color="auto" w:fill="auto"/>
            <w:vAlign w:val="center"/>
          </w:tcPr>
          <w:p w14:paraId="2EB7AF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p>
        </w:tc>
        <w:tc>
          <w:tcPr>
            <w:tcW w:w="676" w:type="dxa"/>
            <w:shd w:val="clear" w:color="auto" w:fill="auto"/>
            <w:vAlign w:val="center"/>
          </w:tcPr>
          <w:p w14:paraId="7695DFE7">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业绩</w:t>
            </w:r>
          </w:p>
          <w:p w14:paraId="61E5855B">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（10分）</w:t>
            </w:r>
          </w:p>
        </w:tc>
        <w:tc>
          <w:tcPr>
            <w:tcW w:w="4536" w:type="dxa"/>
            <w:shd w:val="clear" w:color="auto" w:fill="auto"/>
            <w:vAlign w:val="center"/>
          </w:tcPr>
          <w:p w14:paraId="655CEB5C">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2022年1月1日至今，拟投入本项目的服务团队成员有类似法律咨询服务业绩的，</w:t>
            </w:r>
            <w:r>
              <w:rPr>
                <w:rFonts w:hint="eastAsia"/>
                <w:color w:val="auto"/>
                <w:sz w:val="21"/>
                <w:szCs w:val="21"/>
                <w:lang w:val="zh-CN" w:eastAsia="zh-CN"/>
              </w:rPr>
              <w:t>每提供一个得</w:t>
            </w:r>
            <w:r>
              <w:rPr>
                <w:rFonts w:hint="eastAsia"/>
                <w:color w:val="auto"/>
                <w:sz w:val="21"/>
                <w:szCs w:val="21"/>
                <w:lang w:val="en-US" w:eastAsia="zh-CN"/>
              </w:rPr>
              <w:t>2</w:t>
            </w:r>
            <w:r>
              <w:rPr>
                <w:rFonts w:hint="eastAsia"/>
                <w:color w:val="auto"/>
                <w:sz w:val="21"/>
                <w:szCs w:val="21"/>
                <w:lang w:val="zh-CN" w:eastAsia="zh-CN"/>
              </w:rPr>
              <w:t>分，</w:t>
            </w:r>
            <w:r>
              <w:rPr>
                <w:rFonts w:hint="eastAsia"/>
                <w:color w:val="auto"/>
                <w:sz w:val="21"/>
                <w:szCs w:val="21"/>
                <w:lang w:val="en-US" w:eastAsia="zh-CN"/>
              </w:rPr>
              <w:t>本项最高得10分。</w:t>
            </w:r>
          </w:p>
        </w:tc>
        <w:tc>
          <w:tcPr>
            <w:tcW w:w="1889" w:type="dxa"/>
            <w:shd w:val="clear" w:color="auto" w:fill="auto"/>
            <w:vAlign w:val="center"/>
          </w:tcPr>
          <w:p w14:paraId="0F78A7EB">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eastAsia="zh-CN"/>
              </w:rPr>
            </w:pPr>
            <w:r>
              <w:rPr>
                <w:rFonts w:hint="eastAsia"/>
                <w:color w:val="auto"/>
                <w:sz w:val="21"/>
                <w:szCs w:val="21"/>
              </w:rPr>
              <w:t>提供合同复印件或中标通知书复印件</w:t>
            </w:r>
            <w:r>
              <w:rPr>
                <w:rFonts w:hint="eastAsia"/>
                <w:color w:val="auto"/>
                <w:sz w:val="21"/>
                <w:szCs w:val="21"/>
                <w:lang w:eastAsia="zh-CN"/>
              </w:rPr>
              <w:t>。</w:t>
            </w:r>
          </w:p>
          <w:p w14:paraId="71336BE2">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提供供应商为该项目开具的发票或本项目验收资料复印件加盖供应商鲜章。</w:t>
            </w:r>
          </w:p>
          <w:p w14:paraId="165BE33D">
            <w:pPr>
              <w:keepNext w:val="0"/>
              <w:keepLines w:val="0"/>
              <w:pageBreakBefore w:val="0"/>
              <w:widowControl w:val="0"/>
              <w:kinsoku/>
              <w:wordWrap/>
              <w:overflowPunct/>
              <w:topLinePunct w:val="0"/>
              <w:autoSpaceDE/>
              <w:autoSpaceDN/>
              <w:bidi w:val="0"/>
              <w:adjustRightInd/>
              <w:snapToGrid w:val="0"/>
              <w:textAlignment w:val="auto"/>
              <w:rPr>
                <w:rFonts w:hint="eastAsia"/>
                <w:color w:val="auto"/>
                <w:sz w:val="21"/>
                <w:szCs w:val="21"/>
                <w:lang w:val="en-US" w:eastAsia="zh-CN"/>
              </w:rPr>
            </w:pPr>
            <w:r>
              <w:rPr>
                <w:rFonts w:hint="eastAsia"/>
                <w:color w:val="auto"/>
                <w:sz w:val="21"/>
                <w:szCs w:val="21"/>
                <w:lang w:val="en-US" w:eastAsia="zh-CN"/>
              </w:rPr>
              <w:t xml:space="preserve"> 提供不完全者不得分。</w:t>
            </w:r>
          </w:p>
        </w:tc>
      </w:tr>
    </w:tbl>
    <w:p w14:paraId="3D8E9ACB">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p>
    <w:p w14:paraId="22C4F95C">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说明：本项目异常低价问题参照《关于推动解决政府采购异常低价问题的通知》财库〔2026〕2号文件规定执行。</w:t>
      </w:r>
    </w:p>
    <w:p w14:paraId="1D73C1E5">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（一）政府采购异常低价问题有关事项的说明</w:t>
      </w:r>
    </w:p>
    <w:p w14:paraId="101A5E51">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1）根据《关于推动解决政府采购异常低价问题的通知》财库〔2026〕2号文件规定，政府采购评审中出现下列情形之一的，评审委员会应当启动异常低价响应审查程序：</w:t>
      </w:r>
    </w:p>
    <w:p w14:paraId="1E20791B">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①响应报价低于全部通过符合性审查供应商响应报价平均值50%的，即响应报价&lt;全部通过符合性审查供应商响应报价平均值×50%；</w:t>
      </w:r>
    </w:p>
    <w:p w14:paraId="11568E70">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②响应报价低于通过符合性审查的次低报价供应商响应报价50%的，即响应报价&lt;通过符合性审查的次低报价供应商响应报价×50%；</w:t>
      </w:r>
    </w:p>
    <w:p w14:paraId="25AA22BC">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③响应报价低于采购项目最高限价45%的，即响应报价&lt;采购项目最高限价×45%；</w:t>
      </w:r>
    </w:p>
    <w:p w14:paraId="5B73BE48">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④评审委员会基于专业判断，认为供应商报价过低，有可能影响产品质量或者不能诚信履约的其他情形。</w:t>
      </w:r>
    </w:p>
    <w:p w14:paraId="4E746326">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2）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1EFA05A">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3）评审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14:paraId="67012C6C">
      <w:pPr>
        <w:pStyle w:val="8"/>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b w:val="0"/>
          <w:bCs w:val="0"/>
          <w:color w:val="auto"/>
          <w:sz w:val="24"/>
          <w:szCs w:val="24"/>
          <w:highlight w:val="none"/>
        </w:rPr>
      </w:pPr>
    </w:p>
    <w:p w14:paraId="00F8CB2E">
      <w:pPr>
        <w:pStyle w:val="8"/>
        <w:pageBreakBefore w:val="0"/>
        <w:kinsoku/>
        <w:wordWrap/>
        <w:overflowPunct/>
        <w:topLinePunct w:val="0"/>
        <w:bidi w:val="0"/>
        <w:adjustRightInd w:val="0"/>
        <w:snapToGrid w:val="0"/>
        <w:spacing w:beforeAutospacing="0" w:afterAutospacing="0" w:line="288" w:lineRule="auto"/>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七、提交报价文件的份数和签署</w:t>
      </w:r>
    </w:p>
    <w:p w14:paraId="24B8D845">
      <w:pPr>
        <w:pStyle w:val="8"/>
        <w:pageBreakBefore w:val="0"/>
        <w:kinsoku/>
        <w:wordWrap/>
        <w:overflowPunct/>
        <w:topLinePunct w:val="0"/>
        <w:bidi w:val="0"/>
        <w:adjustRightInd w:val="0"/>
        <w:snapToGrid w:val="0"/>
        <w:spacing w:beforeAutospacing="0" w:afterAutospacing="0" w:line="288" w:lineRule="auto"/>
        <w:ind w:left="238" w:leftChars="85"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1.报价文件一式</w:t>
      </w:r>
      <w:r>
        <w:rPr>
          <w:rFonts w:hint="eastAsia" w:ascii="宋体" w:hAnsi="宋体" w:cs="宋体"/>
          <w:color w:val="auto"/>
          <w:sz w:val="24"/>
          <w:szCs w:val="24"/>
          <w:highlight w:val="none"/>
          <w:lang w:val="en-US" w:eastAsia="zh-CN"/>
        </w:rPr>
        <w:t>二份</w:t>
      </w:r>
      <w:r>
        <w:rPr>
          <w:rFonts w:hint="eastAsia" w:ascii="宋体" w:hAnsi="宋体" w:cs="宋体"/>
          <w:color w:val="auto"/>
          <w:sz w:val="24"/>
          <w:szCs w:val="24"/>
          <w:highlight w:val="none"/>
        </w:rPr>
        <w:t>。其中正本一份，副本一份，副本可为正本的复印件，应与正本一致，如出现不一致情况以正本为准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 </w:t>
      </w:r>
    </w:p>
    <w:p w14:paraId="5F241500">
      <w:pPr>
        <w:pStyle w:val="8"/>
        <w:pageBreakBefore w:val="0"/>
        <w:kinsoku/>
        <w:wordWrap/>
        <w:overflowPunct/>
        <w:topLinePunct w:val="0"/>
        <w:bidi w:val="0"/>
        <w:adjustRightInd w:val="0"/>
        <w:snapToGrid w:val="0"/>
        <w:spacing w:beforeAutospacing="0" w:afterAutospacing="0" w:line="288" w:lineRule="auto"/>
        <w:ind w:left="238" w:leftChars="85"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2.在报价文件中规定签署、盖章的地方必须按其规定签署、盖章。否则视为无效报价。</w:t>
      </w:r>
    </w:p>
    <w:p w14:paraId="720F9477">
      <w:pPr>
        <w:pageBreakBefore w:val="0"/>
        <w:widowControl/>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八、付款方式：</w:t>
      </w:r>
    </w:p>
    <w:p w14:paraId="4F729618">
      <w:pPr>
        <w:pageBreakBefore w:val="0"/>
        <w:widowControl/>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合同签订后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采购人在10个工作日内，向成交供应商支付合同总金额30%作为项目启动经费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成交供应商完成</w:t>
      </w:r>
      <w:r>
        <w:rPr>
          <w:rFonts w:hint="eastAsia" w:ascii="宋体" w:hAnsi="宋体" w:cs="宋体"/>
          <w:color w:val="auto"/>
          <w:kern w:val="0"/>
          <w:sz w:val="24"/>
          <w:szCs w:val="24"/>
          <w:highlight w:val="none"/>
        </w:rPr>
        <w:t>全部工作，</w:t>
      </w:r>
      <w:r>
        <w:rPr>
          <w:rFonts w:hint="eastAsia" w:ascii="宋体" w:hAnsi="宋体" w:cs="宋体"/>
          <w:color w:val="auto"/>
          <w:sz w:val="24"/>
          <w:szCs w:val="24"/>
          <w:highlight w:val="none"/>
        </w:rPr>
        <w:t>根据我院意见修改并</w:t>
      </w:r>
      <w:r>
        <w:rPr>
          <w:rFonts w:hint="eastAsia" w:ascii="宋体" w:hAnsi="宋体" w:cs="宋体"/>
          <w:color w:val="auto"/>
          <w:kern w:val="0"/>
          <w:sz w:val="24"/>
          <w:szCs w:val="24"/>
          <w:highlight w:val="none"/>
        </w:rPr>
        <w:t>通过我院验收</w:t>
      </w:r>
      <w:r>
        <w:rPr>
          <w:rFonts w:hint="eastAsia" w:ascii="宋体" w:hAnsi="宋体" w:cs="宋体"/>
          <w:color w:val="auto"/>
          <w:kern w:val="0"/>
          <w:sz w:val="24"/>
          <w:szCs w:val="24"/>
          <w:highlight w:val="none"/>
          <w:lang w:eastAsia="zh-CN"/>
        </w:rPr>
        <w:t>，</w:t>
      </w:r>
      <w:r>
        <w:rPr>
          <w:rFonts w:hint="eastAsia" w:ascii="宋体" w:hAnsi="宋体" w:eastAsia="宋体" w:cs="宋体"/>
          <w:color w:val="auto"/>
          <w:sz w:val="24"/>
          <w:szCs w:val="24"/>
          <w:highlight w:val="none"/>
        </w:rPr>
        <w:t>10个工作日内我院</w:t>
      </w:r>
      <w:r>
        <w:rPr>
          <w:rFonts w:hint="eastAsia" w:ascii="宋体" w:hAnsi="宋体" w:eastAsia="宋体" w:cs="宋体"/>
          <w:color w:val="auto"/>
          <w:sz w:val="24"/>
          <w:szCs w:val="24"/>
          <w:highlight w:val="none"/>
          <w:lang w:val="en-US" w:eastAsia="zh-CN"/>
        </w:rPr>
        <w:t>一次性</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剩下的</w:t>
      </w:r>
      <w:r>
        <w:rPr>
          <w:rFonts w:hint="eastAsia" w:ascii="宋体" w:hAnsi="宋体" w:cs="宋体"/>
          <w:color w:val="auto"/>
          <w:kern w:val="0"/>
          <w:sz w:val="24"/>
          <w:szCs w:val="24"/>
          <w:highlight w:val="none"/>
          <w:lang w:val="en-US" w:eastAsia="zh-CN"/>
        </w:rPr>
        <w:t>全部</w:t>
      </w:r>
      <w:r>
        <w:rPr>
          <w:rFonts w:hint="eastAsia" w:ascii="宋体" w:hAnsi="宋体" w:cs="宋体"/>
          <w:color w:val="auto"/>
          <w:kern w:val="0"/>
          <w:sz w:val="24"/>
          <w:szCs w:val="24"/>
          <w:highlight w:val="none"/>
        </w:rPr>
        <w:t>工作经费</w:t>
      </w:r>
      <w:r>
        <w:rPr>
          <w:rFonts w:hint="eastAsia" w:ascii="宋体" w:hAnsi="宋体" w:cs="宋体"/>
          <w:color w:val="auto"/>
          <w:sz w:val="24"/>
          <w:szCs w:val="24"/>
          <w:highlight w:val="none"/>
        </w:rPr>
        <w:t>。</w:t>
      </w:r>
    </w:p>
    <w:p w14:paraId="188DE2B3">
      <w:pPr>
        <w:pageBreakBefore w:val="0"/>
        <w:widowControl/>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成交供应商应在我院支付经费之前提供有效的票据，且成交供应商严格按照我院要求和格式提交相关资料，否则我院有权拒绝支</w:t>
      </w:r>
      <w:bookmarkStart w:id="17" w:name="_GoBack"/>
      <w:bookmarkEnd w:id="17"/>
      <w:r>
        <w:rPr>
          <w:rFonts w:hint="eastAsia" w:ascii="宋体" w:hAnsi="宋体" w:cs="宋体"/>
          <w:color w:val="auto"/>
          <w:sz w:val="24"/>
          <w:szCs w:val="24"/>
          <w:highlight w:val="none"/>
        </w:rPr>
        <w:t>付相关费用。</w:t>
      </w:r>
    </w:p>
    <w:p w14:paraId="12DDDCE2">
      <w:pPr>
        <w:pageBreakBefore w:val="0"/>
        <w:widowControl/>
        <w:shd w:val="clear" w:color="auto" w:fill="FFFFFF"/>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九、报价要求</w:t>
      </w:r>
    </w:p>
    <w:p w14:paraId="3F833848">
      <w:pPr>
        <w:pageBreakBefore w:val="0"/>
        <w:widowControl/>
        <w:kinsoku/>
        <w:wordWrap/>
        <w:overflowPunct/>
        <w:topLinePunct w:val="0"/>
        <w:bidi w:val="0"/>
        <w:adjustRightInd w:val="0"/>
        <w:snapToGrid w:val="0"/>
        <w:spacing w:beforeAutospacing="0" w:afterAutospacing="0" w:line="288" w:lineRule="auto"/>
        <w:ind w:firstLine="482" w:firstLineChars="200"/>
        <w:jc w:val="left"/>
        <w:textAlignment w:val="auto"/>
        <w:rPr>
          <w:rFonts w:ascii="宋体" w:hAnsi="宋体" w:cs="宋体"/>
          <w:color w:val="auto"/>
          <w:sz w:val="24"/>
          <w:szCs w:val="24"/>
          <w:highlight w:val="none"/>
        </w:rPr>
      </w:pPr>
      <w:r>
        <w:rPr>
          <w:rFonts w:hint="eastAsia" w:asciiTheme="minorEastAsia" w:hAnsiTheme="minorEastAsia" w:eastAsiaTheme="minorEastAsia" w:cstheme="minorEastAsia"/>
          <w:b/>
          <w:bCs/>
          <w:color w:val="auto"/>
          <w:sz w:val="24"/>
          <w:szCs w:val="24"/>
        </w:rPr>
        <w:t>报价文件密封后（在密封袋上注明项目名称）</w:t>
      </w:r>
      <w:r>
        <w:rPr>
          <w:rFonts w:hint="eastAsia" w:ascii="宋体" w:hAnsi="宋体" w:cs="宋体"/>
          <w:b/>
          <w:bCs/>
          <w:color w:val="auto"/>
          <w:sz w:val="24"/>
          <w:szCs w:val="24"/>
        </w:rPr>
        <w:t>请于</w:t>
      </w:r>
      <w:r>
        <w:rPr>
          <w:rFonts w:hint="eastAsia" w:ascii="宋体" w:hAnsi="宋体" w:cs="宋体"/>
          <w:b/>
          <w:bCs/>
          <w:color w:val="auto"/>
          <w:sz w:val="24"/>
          <w:szCs w:val="24"/>
          <w:lang w:val="en-US" w:eastAsia="zh-CN"/>
        </w:rPr>
        <w:t>2026</w:t>
      </w:r>
      <w:r>
        <w:rPr>
          <w:rFonts w:hint="eastAsia" w:ascii="宋体" w:hAnsi="宋体" w:cs="宋体"/>
          <w:b/>
          <w:bCs/>
          <w:color w:val="auto"/>
          <w:sz w:val="24"/>
          <w:szCs w:val="24"/>
        </w:rPr>
        <w:t>年</w:t>
      </w:r>
      <w:r>
        <w:rPr>
          <w:rFonts w:hint="eastAsia" w:ascii="宋体" w:hAnsi="宋体" w:cs="宋体"/>
          <w:b/>
          <w:bCs/>
          <w:color w:val="auto"/>
          <w:sz w:val="24"/>
          <w:szCs w:val="24"/>
          <w:lang w:val="en-US" w:eastAsia="zh-CN"/>
        </w:rPr>
        <w:t>6</w:t>
      </w:r>
      <w:r>
        <w:rPr>
          <w:rFonts w:hint="eastAsia" w:ascii="宋体" w:hAnsi="宋体" w:cs="宋体"/>
          <w:b/>
          <w:bCs/>
          <w:color w:val="auto"/>
          <w:sz w:val="24"/>
          <w:szCs w:val="24"/>
        </w:rPr>
        <w:t>月</w:t>
      </w:r>
      <w:r>
        <w:rPr>
          <w:rFonts w:hint="eastAsia" w:ascii="宋体" w:hAnsi="宋体" w:cs="宋体"/>
          <w:b/>
          <w:bCs/>
          <w:color w:val="auto"/>
          <w:sz w:val="24"/>
          <w:szCs w:val="24"/>
          <w:lang w:val="en-US" w:eastAsia="zh-CN"/>
        </w:rPr>
        <w:t>11</w:t>
      </w:r>
      <w:r>
        <w:rPr>
          <w:rFonts w:hint="eastAsia" w:ascii="宋体" w:hAnsi="宋体" w:cs="宋体"/>
          <w:b/>
          <w:bCs/>
          <w:color w:val="auto"/>
          <w:sz w:val="24"/>
          <w:szCs w:val="24"/>
        </w:rPr>
        <w:t>日上午12：00时前以快递送达方式递交，凡超出上述时限送达的报价文件均拒绝接受并视为贵单位放弃参与本项目报价。</w:t>
      </w:r>
      <w:r>
        <w:rPr>
          <w:rFonts w:hint="eastAsia" w:ascii="宋体" w:hAnsi="宋体" w:cs="宋体"/>
          <w:color w:val="auto"/>
          <w:sz w:val="24"/>
          <w:szCs w:val="24"/>
          <w:highlight w:val="none"/>
        </w:rPr>
        <w:t>报价统一采用本《</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文件》附件报价函，否则视为无效报价。</w:t>
      </w:r>
    </w:p>
    <w:p w14:paraId="44632F04">
      <w:pPr>
        <w:pageBreakBefore w:val="0"/>
        <w:widowControl/>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参与本项目</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的供应商不足3家的，则本项目重新开展</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评审小组认为供应商的报价明显低于其他供应商的报价，有可能影响服务质量或者不能诚信履约的，应当要求其在合理的时间内提供盖章后的书面说明纸质件递交至现场或盖章后的电子文档说明扫描件传至指定邮箱，必要时提交相关证明材料；供应商不能证明其报价合理性的，评审小组应当将其作为无效投标处理。</w:t>
      </w:r>
    </w:p>
    <w:p w14:paraId="75BE53EC">
      <w:pPr>
        <w:pageBreakBefore w:val="0"/>
        <w:widowControl/>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李</w:t>
      </w:r>
      <w:r>
        <w:rPr>
          <w:rFonts w:hint="eastAsia" w:ascii="宋体" w:hAnsi="宋体" w:cs="宋体"/>
          <w:color w:val="auto"/>
          <w:sz w:val="24"/>
          <w:szCs w:val="24"/>
          <w:highlight w:val="none"/>
        </w:rPr>
        <w:t>老师</w:t>
      </w:r>
    </w:p>
    <w:p w14:paraId="07973A76">
      <w:pPr>
        <w:pageBreakBefore w:val="0"/>
        <w:widowControl/>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联系电话：023-63524124</w:t>
      </w:r>
    </w:p>
    <w:p w14:paraId="03B1AD0C">
      <w:pPr>
        <w:pageBreakBefore w:val="0"/>
        <w:widowControl/>
        <w:kinsoku/>
        <w:wordWrap/>
        <w:overflowPunct/>
        <w:topLinePunct w:val="0"/>
        <w:bidi w:val="0"/>
        <w:adjustRightInd w:val="0"/>
        <w:snapToGrid w:val="0"/>
        <w:spacing w:beforeAutospacing="0" w:afterAutospacing="0" w:line="288" w:lineRule="auto"/>
        <w:ind w:firstLine="480" w:firstLineChars="200"/>
        <w:jc w:val="left"/>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邮寄地址：重庆市渝中区枇杷山正街72号重庆市文物考古研究院</w:t>
      </w:r>
    </w:p>
    <w:p w14:paraId="53C81738">
      <w:pPr>
        <w:pStyle w:val="3"/>
        <w:pageBreakBefore w:val="0"/>
        <w:kinsoku/>
        <w:wordWrap/>
        <w:overflowPunct/>
        <w:topLinePunct w:val="0"/>
        <w:bidi w:val="0"/>
        <w:adjustRightInd w:val="0"/>
        <w:snapToGrid w:val="0"/>
        <w:spacing w:beforeAutospacing="0" w:afterAutospacing="0" w:line="288" w:lineRule="auto"/>
        <w:ind w:firstLine="482"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十、其他</w:t>
      </w:r>
    </w:p>
    <w:p w14:paraId="69DD3EB6">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1.供应商向我院递交</w:t>
      </w:r>
      <w:r>
        <w:rPr>
          <w:rFonts w:hint="eastAsia" w:ascii="宋体" w:hAnsi="宋体" w:cs="宋体"/>
          <w:color w:val="auto"/>
          <w:sz w:val="24"/>
          <w:szCs w:val="24"/>
          <w:highlight w:val="none"/>
          <w:lang w:val="en-US" w:eastAsia="zh-CN"/>
        </w:rPr>
        <w:t>响应</w:t>
      </w:r>
      <w:r>
        <w:rPr>
          <w:rFonts w:hint="eastAsia" w:ascii="宋体" w:hAnsi="宋体" w:cs="宋体"/>
          <w:color w:val="auto"/>
          <w:sz w:val="24"/>
          <w:szCs w:val="24"/>
          <w:highlight w:val="none"/>
        </w:rPr>
        <w:t>文件视为接受</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文件</w:t>
      </w:r>
      <w:r>
        <w:rPr>
          <w:rFonts w:hint="eastAsia" w:ascii="宋体" w:hAnsi="宋体" w:cs="宋体"/>
          <w:color w:val="auto"/>
          <w:sz w:val="24"/>
          <w:szCs w:val="24"/>
          <w:highlight w:val="none"/>
          <w:lang w:val="en-US" w:eastAsia="zh-CN"/>
        </w:rPr>
        <w:t>所有</w:t>
      </w:r>
      <w:r>
        <w:rPr>
          <w:rFonts w:hint="eastAsia" w:ascii="宋体" w:hAnsi="宋体" w:cs="宋体"/>
          <w:color w:val="auto"/>
          <w:sz w:val="24"/>
          <w:szCs w:val="24"/>
          <w:highlight w:val="none"/>
        </w:rPr>
        <w:t>条款，并承诺工作成果必须达到</w:t>
      </w:r>
      <w:r>
        <w:rPr>
          <w:rFonts w:hint="eastAsia" w:ascii="宋体" w:hAnsi="宋体" w:cs="宋体"/>
          <w:color w:val="auto"/>
          <w:sz w:val="24"/>
          <w:szCs w:val="24"/>
          <w:highlight w:val="none"/>
          <w:lang w:val="en-US" w:eastAsia="zh-CN"/>
        </w:rPr>
        <w:t>询比文件</w:t>
      </w:r>
      <w:r>
        <w:rPr>
          <w:rFonts w:hint="eastAsia" w:ascii="宋体" w:hAnsi="宋体" w:cs="宋体"/>
          <w:color w:val="auto"/>
          <w:sz w:val="24"/>
          <w:szCs w:val="24"/>
          <w:highlight w:val="none"/>
        </w:rPr>
        <w:t>的要求。</w:t>
      </w:r>
    </w:p>
    <w:p w14:paraId="3340757D">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2.供应商须自行承诺其提供的响应文件中所有证明材料真实有效，不存在弄虚作假情形。</w:t>
      </w:r>
    </w:p>
    <w:p w14:paraId="05ACD488">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我院在采购合同签订前均有权对供应商提供的报价文件中所有内容进行核实，若发现弄虚作假，取消其成交资格，并按相关法律法规报上级主管部门或重庆市财政局监督部门处理，并承担因此造成的相关责任并赔偿相应损失。</w:t>
      </w:r>
    </w:p>
    <w:p w14:paraId="2D5F6BBC">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在采购合同签订后发现供应商提供的报价文件存在弄虚作假情形，有权立即解除合同，有权不退还其履约保证金（如有），并按相关法律法规报上级主管部门或重庆市财政局监督部门处理，并承担因此造成的相关责任并赔偿相应损失。</w:t>
      </w:r>
    </w:p>
    <w:p w14:paraId="6E03CA4C">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5.凡有意参加</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的供应商，请于公告发布之日起至报名截止时间之前，在重庆市文物考古研究院官网（www.cqkaogu.c</w:t>
      </w:r>
      <w:r>
        <w:rPr>
          <w:rFonts w:hint="eastAsia" w:ascii="宋体" w:hAnsi="宋体" w:cs="宋体"/>
          <w:color w:val="auto"/>
          <w:sz w:val="24"/>
          <w:szCs w:val="24"/>
          <w:highlight w:val="none"/>
          <w:lang w:val="en-US" w:eastAsia="zh-CN"/>
        </w:rPr>
        <w:t>n</w:t>
      </w:r>
      <w:r>
        <w:rPr>
          <w:rFonts w:hint="eastAsia" w:ascii="宋体" w:hAnsi="宋体" w:cs="宋体"/>
          <w:color w:val="auto"/>
          <w:sz w:val="24"/>
          <w:szCs w:val="24"/>
          <w:highlight w:val="none"/>
        </w:rPr>
        <w:t>）上下载查看本项目</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文件以及变更公告等</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前公布的所有项目资料，无论供应商下载查看与否，均视为已知晓所有</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实质性要求内容。</w:t>
      </w:r>
    </w:p>
    <w:p w14:paraId="35E318A2">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cs="宋体"/>
          <w:color w:val="auto"/>
          <w:sz w:val="24"/>
          <w:szCs w:val="24"/>
          <w:highlight w:val="none"/>
        </w:rPr>
        <w:t>6.</w:t>
      </w:r>
      <w:r>
        <w:rPr>
          <w:rFonts w:hint="eastAsia" w:ascii="宋体" w:hAnsi="宋体" w:cs="宋体"/>
          <w:color w:val="auto"/>
          <w:sz w:val="24"/>
          <w:szCs w:val="24"/>
          <w:highlight w:val="none"/>
        </w:rPr>
        <w:t>单位负责人为同一人或者存在直接控股、管理关系的不同供应商，不得同时参与此次</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w:t>
      </w:r>
    </w:p>
    <w:p w14:paraId="2D231FC6">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7.本项目不接受联合体参与评审。</w:t>
      </w:r>
    </w:p>
    <w:p w14:paraId="4F3B819E">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8.不允许分包、转包。</w:t>
      </w:r>
    </w:p>
    <w:p w14:paraId="250E0E3F">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9.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本院</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w:t>
      </w:r>
    </w:p>
    <w:p w14:paraId="77B9AFCC">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10.采购人应当自</w:t>
      </w:r>
      <w:r>
        <w:rPr>
          <w:rFonts w:hint="eastAsia" w:ascii="宋体" w:hAnsi="宋体" w:eastAsia="宋体" w:cs="宋体"/>
          <w:color w:val="auto"/>
          <w:sz w:val="24"/>
          <w:szCs w:val="24"/>
          <w:highlight w:val="none"/>
          <w:lang w:val="en-US" w:eastAsia="zh-CN"/>
        </w:rPr>
        <w:t>成交结果公示</w:t>
      </w:r>
      <w:r>
        <w:rPr>
          <w:rFonts w:hint="eastAsia" w:ascii="宋体" w:hAnsi="宋体" w:eastAsia="宋体" w:cs="宋体"/>
          <w:color w:val="auto"/>
          <w:sz w:val="24"/>
          <w:szCs w:val="24"/>
          <w:highlight w:val="none"/>
        </w:rPr>
        <w:t>之日起二十日内，按照</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文件和成交供应商响应文件的约定，与成交供应商签订书面合同。所签订的合同不得对</w:t>
      </w:r>
      <w:r>
        <w:rPr>
          <w:rFonts w:hint="eastAsia" w:ascii="宋体" w:hAnsi="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文件和供应商的响应文件作实质性修改。</w:t>
      </w:r>
    </w:p>
    <w:p w14:paraId="4867EE6B">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11.成交供应商在二十日内拒绝和采购人签订书面合同的、</w:t>
      </w:r>
      <w:r>
        <w:rPr>
          <w:rFonts w:hint="eastAsia" w:ascii="宋体" w:hAnsi="宋体" w:eastAsia="宋体" w:cs="宋体"/>
          <w:color w:val="auto"/>
          <w:sz w:val="24"/>
          <w:szCs w:val="24"/>
          <w:highlight w:val="none"/>
        </w:rPr>
        <w:t>成交供应商放弃成交资格、因不可抗力不能履行合同、在合同签订前（或合同已签订但尚未履行的，撤销合同的）被查实响应文件存在弄虚作假或者被查实其他违法行为等情形的，采购人可以按照评标报告推荐的成交候选供应商顺序，确定排名下一位的候选人为成交供应商，也可以重新开展</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采购活动。</w:t>
      </w:r>
    </w:p>
    <w:p w14:paraId="39CDC955">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其他未尽事宜由供需双方在采购合同中详细约定。</w:t>
      </w:r>
    </w:p>
    <w:p w14:paraId="4E591311">
      <w:pPr>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13.供应商应严格按照响应文件格式提供相应文件，响应文件或文件内容不符合要求的，将被视为未实质性响应询比文件，其响应将被否决。</w:t>
      </w:r>
    </w:p>
    <w:p w14:paraId="417EC48E">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br w:type="page"/>
      </w:r>
    </w:p>
    <w:p w14:paraId="013858C0">
      <w:pPr>
        <w:pStyle w:val="3"/>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eastAsia" w:ascii="宋体" w:hAnsi="宋体" w:eastAsia="宋体" w:cs="宋体"/>
          <w:color w:val="auto"/>
          <w:sz w:val="24"/>
          <w:szCs w:val="24"/>
          <w:highlight w:val="none"/>
        </w:rPr>
      </w:pPr>
      <w:bookmarkStart w:id="0" w:name="_Toc12789072"/>
      <w:bookmarkStart w:id="1" w:name="_Toc10403"/>
      <w:bookmarkStart w:id="2" w:name="_Toc25180"/>
      <w:bookmarkStart w:id="3" w:name="_Toc7138"/>
      <w:bookmarkStart w:id="4" w:name="_Toc4905"/>
      <w:bookmarkStart w:id="5" w:name="_Toc16028"/>
      <w:bookmarkStart w:id="6" w:name="_Toc18883"/>
      <w:bookmarkStart w:id="7" w:name="_Toc29396"/>
      <w:bookmarkStart w:id="8" w:name="_Toc4385"/>
      <w:bookmarkStart w:id="9" w:name="_Toc26462"/>
      <w:bookmarkStart w:id="10" w:name="_Toc29974"/>
      <w:bookmarkStart w:id="11" w:name="_Toc1282"/>
      <w:bookmarkStart w:id="12" w:name="_Toc22073"/>
      <w:bookmarkStart w:id="13" w:name="_Toc31704"/>
      <w:bookmarkStart w:id="14" w:name="_Toc22527"/>
      <w:bookmarkStart w:id="15" w:name="_Toc22876"/>
      <w:bookmarkStart w:id="16" w:name="_Toc9383"/>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十一、</w:t>
      </w:r>
      <w:r>
        <w:rPr>
          <w:rFonts w:hint="eastAsia" w:ascii="宋体" w:hAnsi="宋体" w:eastAsia="宋体" w:cs="宋体"/>
          <w:color w:val="auto"/>
          <w:sz w:val="24"/>
          <w:szCs w:val="24"/>
          <w:highlight w:val="none"/>
        </w:rPr>
        <w:t xml:space="preserve">  响应文件格式要求</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538E422B">
      <w:pPr>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一、经济文件</w:t>
      </w:r>
    </w:p>
    <w:p w14:paraId="7E2812CA">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val="en-US" w:eastAsia="zh-CN"/>
        </w:rPr>
        <w:t>报价</w:t>
      </w:r>
      <w:r>
        <w:rPr>
          <w:rFonts w:hint="eastAsia" w:ascii="宋体" w:hAnsi="宋体" w:cs="宋体"/>
          <w:color w:val="auto"/>
          <w:sz w:val="24"/>
          <w:szCs w:val="24"/>
          <w:highlight w:val="none"/>
        </w:rPr>
        <w:t>表（格式）</w:t>
      </w:r>
    </w:p>
    <w:p w14:paraId="305807C3">
      <w:pPr>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二、服务文件</w:t>
      </w:r>
    </w:p>
    <w:p w14:paraId="5FB8B09A">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（一）整体服务方案</w:t>
      </w:r>
    </w:p>
    <w:p w14:paraId="151A5C0B">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项目质量保障措施</w:t>
      </w:r>
    </w:p>
    <w:p w14:paraId="575C679E">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保密措施</w:t>
      </w:r>
    </w:p>
    <w:p w14:paraId="1D18B5B0">
      <w:pPr>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三、商务文件</w:t>
      </w:r>
    </w:p>
    <w:p w14:paraId="1968FC6B">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（一）</w:t>
      </w:r>
      <w:r>
        <w:rPr>
          <w:rFonts w:hint="eastAsia" w:ascii="宋体" w:hAnsi="宋体" w:cs="宋体"/>
          <w:color w:val="auto"/>
          <w:sz w:val="24"/>
          <w:szCs w:val="24"/>
          <w:highlight w:val="none"/>
        </w:rPr>
        <w:t>人员配置</w:t>
      </w:r>
    </w:p>
    <w:p w14:paraId="4B3EDFF9">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业绩</w:t>
      </w:r>
    </w:p>
    <w:p w14:paraId="7B5D65B0">
      <w:pPr>
        <w:pageBreakBefore w:val="0"/>
        <w:kinsoku/>
        <w:wordWrap/>
        <w:overflowPunct/>
        <w:topLinePunct w:val="0"/>
        <w:bidi w:val="0"/>
        <w:adjustRightInd w:val="0"/>
        <w:snapToGrid w:val="0"/>
        <w:spacing w:beforeAutospacing="0" w:afterAutospacing="0" w:line="288"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、资格文件</w:t>
      </w:r>
    </w:p>
    <w:p w14:paraId="6E39A05F">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（一）营业执照（副本）或事业单位法人证书（副本）复印件</w:t>
      </w:r>
    </w:p>
    <w:p w14:paraId="6EE643C5">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2C0B2CC0">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044F25D2">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1C8AE312">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廉政风险防范承诺（格式）</w:t>
      </w:r>
    </w:p>
    <w:p w14:paraId="6AEB3DEC">
      <w:pPr>
        <w:pageBreakBefore w:val="0"/>
        <w:kinsoku/>
        <w:wordWrap/>
        <w:overflowPunct/>
        <w:topLinePunct w:val="0"/>
        <w:bidi w:val="0"/>
        <w:adjustRightInd w:val="0"/>
        <w:snapToGrid w:val="0"/>
        <w:spacing w:beforeAutospacing="0" w:afterAutospacing="0" w:line="288" w:lineRule="auto"/>
        <w:ind w:firstLine="560" w:firstLineChars="200"/>
        <w:textAlignment w:val="auto"/>
        <w:rPr>
          <w:rFonts w:hint="eastAsia"/>
          <w:color w:val="auto"/>
          <w:highlight w:val="none"/>
        </w:rPr>
      </w:pPr>
      <w:r>
        <w:rPr>
          <w:rFonts w:hint="eastAsia"/>
          <w:color w:val="auto"/>
          <w:highlight w:val="none"/>
        </w:rPr>
        <w:br w:type="page"/>
      </w:r>
    </w:p>
    <w:p w14:paraId="239DCDA3">
      <w:pPr>
        <w:pageBreakBefore w:val="0"/>
        <w:kinsoku/>
        <w:wordWrap/>
        <w:overflowPunct/>
        <w:topLinePunct w:val="0"/>
        <w:bidi w:val="0"/>
        <w:adjustRightInd w:val="0"/>
        <w:snapToGrid w:val="0"/>
        <w:spacing w:beforeAutospacing="0" w:afterAutospacing="0" w:line="288" w:lineRule="auto"/>
        <w:ind w:firstLine="560" w:firstLineChars="200"/>
        <w:textAlignment w:val="auto"/>
        <w:rPr>
          <w:color w:val="auto"/>
          <w:highlight w:val="none"/>
        </w:rPr>
      </w:pPr>
      <w:r>
        <w:rPr>
          <w:rFonts w:hint="eastAsia"/>
          <w:color w:val="auto"/>
          <w:highlight w:val="none"/>
          <w:lang w:val="en-US" w:eastAsia="zh-CN"/>
        </w:rPr>
        <w:t>一、经济文件</w:t>
      </w:r>
    </w:p>
    <w:p w14:paraId="69F89B78">
      <w:pPr>
        <w:pageBreakBefore w:val="0"/>
        <w:tabs>
          <w:tab w:val="left" w:pos="6300"/>
        </w:tabs>
        <w:kinsoku/>
        <w:wordWrap/>
        <w:overflowPunct/>
        <w:topLinePunct w:val="0"/>
        <w:bidi w:val="0"/>
        <w:adjustRightInd w:val="0"/>
        <w:snapToGrid w:val="0"/>
        <w:spacing w:beforeAutospacing="0" w:afterAutospacing="0" w:line="288" w:lineRule="auto"/>
        <w:ind w:firstLine="723" w:firstLineChars="200"/>
        <w:jc w:val="center"/>
        <w:textAlignment w:val="auto"/>
        <w:rPr>
          <w:rFonts w:hint="eastAsia" w:ascii="宋体" w:hAnsi="宋体" w:eastAsia="宋体" w:cs="宋体"/>
          <w:b/>
          <w:color w:val="auto"/>
          <w:sz w:val="36"/>
          <w:szCs w:val="36"/>
          <w:highlight w:val="none"/>
          <w:lang w:eastAsia="zh-CN"/>
        </w:rPr>
      </w:pPr>
      <w:r>
        <w:rPr>
          <w:rFonts w:hint="eastAsia" w:ascii="宋体" w:hAnsi="宋体" w:cs="宋体"/>
          <w:b/>
          <w:color w:val="auto"/>
          <w:sz w:val="36"/>
          <w:szCs w:val="36"/>
          <w:highlight w:val="none"/>
        </w:rPr>
        <w:t>报价</w:t>
      </w:r>
      <w:r>
        <w:rPr>
          <w:rFonts w:hint="eastAsia" w:ascii="宋体" w:hAnsi="宋体" w:cs="宋体"/>
          <w:b/>
          <w:color w:val="auto"/>
          <w:sz w:val="36"/>
          <w:szCs w:val="36"/>
          <w:highlight w:val="none"/>
          <w:lang w:val="en-US" w:eastAsia="zh-CN"/>
        </w:rPr>
        <w:t>表</w:t>
      </w:r>
    </w:p>
    <w:p w14:paraId="67E625DC">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u w:val="single"/>
          <w:lang w:val="en-US" w:eastAsia="zh-CN"/>
        </w:rPr>
        <w:t>重庆市文物考古研究院（重庆文化遗产保护中心）</w:t>
      </w:r>
      <w:r>
        <w:rPr>
          <w:rFonts w:hint="eastAsia" w:ascii="宋体" w:hAnsi="宋体" w:cs="宋体"/>
          <w:color w:val="auto"/>
          <w:sz w:val="24"/>
          <w:szCs w:val="24"/>
          <w:highlight w:val="none"/>
        </w:rPr>
        <w:t>：</w:t>
      </w:r>
    </w:p>
    <w:p w14:paraId="210D2256">
      <w:pPr>
        <w:pageBreakBefore w:val="0"/>
        <w:tabs>
          <w:tab w:val="left" w:pos="6300"/>
        </w:tabs>
        <w:kinsoku/>
        <w:wordWrap/>
        <w:overflowPunct/>
        <w:topLinePunct w:val="0"/>
        <w:bidi w:val="0"/>
        <w:adjustRightInd w:val="0"/>
        <w:snapToGrid w:val="0"/>
        <w:spacing w:beforeAutospacing="0" w:afterAutospacing="0" w:line="288" w:lineRule="auto"/>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我方收到（</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项目名称）的</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文件，经详细研究，决定参加该</w:t>
      </w:r>
      <w:r>
        <w:rPr>
          <w:rFonts w:hint="eastAsia" w:ascii="宋体" w:hAnsi="宋体" w:cs="宋体"/>
          <w:color w:val="auto"/>
          <w:sz w:val="24"/>
          <w:szCs w:val="24"/>
          <w:highlight w:val="none"/>
          <w:lang w:eastAsia="zh-CN"/>
        </w:rPr>
        <w:t>询比</w:t>
      </w:r>
      <w:r>
        <w:rPr>
          <w:rFonts w:hint="eastAsia" w:ascii="宋体" w:hAnsi="宋体" w:cs="宋体"/>
          <w:color w:val="auto"/>
          <w:sz w:val="24"/>
          <w:szCs w:val="24"/>
          <w:highlight w:val="none"/>
        </w:rPr>
        <w:t>项目的报价。</w:t>
      </w:r>
    </w:p>
    <w:p w14:paraId="3BB623FF">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我方</w:t>
      </w:r>
      <w:r>
        <w:rPr>
          <w:rFonts w:hint="eastAsia" w:ascii="宋体" w:hAnsi="宋体" w:cs="宋体"/>
          <w:color w:val="auto"/>
          <w:sz w:val="24"/>
          <w:szCs w:val="24"/>
          <w:highlight w:val="none"/>
        </w:rPr>
        <w:t>愿意按照</w:t>
      </w:r>
      <w:r>
        <w:rPr>
          <w:rFonts w:hint="eastAsia" w:ascii="宋体" w:hAnsi="宋体" w:cs="宋体"/>
          <w:color w:val="auto"/>
          <w:sz w:val="24"/>
          <w:szCs w:val="24"/>
          <w:highlight w:val="none"/>
          <w:lang w:val="en-US" w:eastAsia="zh-CN"/>
        </w:rPr>
        <w:t>询比</w:t>
      </w:r>
      <w:r>
        <w:rPr>
          <w:rFonts w:hint="eastAsia" w:ascii="宋体" w:hAnsi="宋体" w:cs="宋体"/>
          <w:color w:val="auto"/>
          <w:sz w:val="24"/>
          <w:szCs w:val="24"/>
          <w:highlight w:val="none"/>
        </w:rPr>
        <w:t>文件中的一切要求，提供本项目的服务，最终报价为人民币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元  ，大写：  整</w:t>
      </w:r>
      <w:r>
        <w:rPr>
          <w:rFonts w:hint="eastAsia" w:ascii="宋体" w:hAnsi="宋体" w:cs="宋体"/>
          <w:color w:val="auto"/>
          <w:sz w:val="24"/>
          <w:szCs w:val="24"/>
          <w:highlight w:val="none"/>
        </w:rPr>
        <w:t>。</w:t>
      </w:r>
    </w:p>
    <w:p w14:paraId="10ECB902">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我方完全理解并接受该项目</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文件所有要求。</w:t>
      </w:r>
    </w:p>
    <w:p w14:paraId="5860BD08">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我方提交的所有文件、资料都是准确和真实的，如有虚假或隐瞒，我方愿意承担一切法律责任。</w:t>
      </w:r>
    </w:p>
    <w:p w14:paraId="1BE6B98B">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我方承诺按照</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文件要求，提供招标项目的服务。</w:t>
      </w:r>
    </w:p>
    <w:p w14:paraId="69663241">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我方按</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文件要求提交的</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文件为：正本1份，副本1份。</w:t>
      </w:r>
    </w:p>
    <w:p w14:paraId="6A0951D2">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我方报价为闭口价。即在有效期和合同有效期内，该报价固定不变。</w:t>
      </w:r>
    </w:p>
    <w:p w14:paraId="6278DA95">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如果我方成交，我方将履行</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文件中规定的各项要求以及我方文件的各项承诺，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中华人民共和国政府采购法》、《中华人民共和国民法典》及合同约定条款承担我方责任。</w:t>
      </w:r>
    </w:p>
    <w:p w14:paraId="22B3E49C">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我方理解，最低报价不是成交的唯一条件。</w:t>
      </w:r>
    </w:p>
    <w:p w14:paraId="4A0E94ED">
      <w:pPr>
        <w:pageBreakBefore w:val="0"/>
        <w:tabs>
          <w:tab w:val="left" w:pos="6300"/>
        </w:tabs>
        <w:kinsoku/>
        <w:wordWrap/>
        <w:overflowPunct/>
        <w:topLinePunct w:val="0"/>
        <w:bidi w:val="0"/>
        <w:adjustRightInd w:val="0"/>
        <w:snapToGrid w:val="0"/>
        <w:spacing w:beforeAutospacing="0" w:afterAutospacing="0" w:line="288" w:lineRule="auto"/>
        <w:ind w:left="278"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我方同意按有关规定及</w:t>
      </w:r>
      <w:r>
        <w:rPr>
          <w:rFonts w:hint="eastAsia" w:ascii="宋体" w:hAnsi="宋体"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文件要求。</w:t>
      </w:r>
    </w:p>
    <w:p w14:paraId="65E6781E">
      <w:pPr>
        <w:pageBreakBefore w:val="0"/>
        <w:tabs>
          <w:tab w:val="left" w:pos="6300"/>
        </w:tabs>
        <w:kinsoku/>
        <w:wordWrap/>
        <w:overflowPunct/>
        <w:topLinePunct w:val="0"/>
        <w:bidi w:val="0"/>
        <w:adjustRightInd w:val="0"/>
        <w:snapToGrid w:val="0"/>
        <w:spacing w:beforeAutospacing="0" w:afterAutospacing="0" w:line="288" w:lineRule="auto"/>
        <w:ind w:left="478" w:leftChars="85" w:hanging="240" w:hangingChars="100"/>
        <w:textAlignment w:val="auto"/>
        <w:rPr>
          <w:rFonts w:hint="eastAsia" w:ascii="宋体" w:hAnsi="宋体" w:eastAsia="宋体" w:cs="宋体"/>
          <w:color w:val="auto"/>
          <w:sz w:val="24"/>
          <w:szCs w:val="24"/>
          <w:highlight w:val="none"/>
        </w:rPr>
      </w:pPr>
    </w:p>
    <w:p w14:paraId="0B65703E">
      <w:pPr>
        <w:pageBreakBefore w:val="0"/>
        <w:tabs>
          <w:tab w:val="left" w:pos="6300"/>
        </w:tabs>
        <w:kinsoku/>
        <w:wordWrap/>
        <w:overflowPunct/>
        <w:topLinePunct w:val="0"/>
        <w:bidi w:val="0"/>
        <w:adjustRightInd w:val="0"/>
        <w:snapToGrid w:val="0"/>
        <w:spacing w:beforeAutospacing="0" w:afterAutospacing="0" w:line="288" w:lineRule="auto"/>
        <w:ind w:firstLine="570"/>
        <w:textAlignment w:val="auto"/>
        <w:rPr>
          <w:rFonts w:ascii="宋体" w:hAnsi="宋体" w:cs="宋体"/>
          <w:color w:val="auto"/>
          <w:sz w:val="24"/>
          <w:szCs w:val="24"/>
          <w:highlight w:val="none"/>
        </w:rPr>
      </w:pPr>
    </w:p>
    <w:p w14:paraId="646D8794">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供应商（公章）签署：</w:t>
      </w:r>
    </w:p>
    <w:p w14:paraId="09D822FB">
      <w:pPr>
        <w:pStyle w:val="12"/>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left="0" w:leftChars="0" w:firstLine="480" w:firstLineChars="200"/>
        <w:textAlignment w:val="auto"/>
        <w:rPr>
          <w:rFonts w:eastAsia="宋体"/>
          <w:color w:val="auto"/>
          <w:highlight w:val="none"/>
        </w:rPr>
      </w:pPr>
      <w:r>
        <w:rPr>
          <w:rFonts w:hint="eastAsia" w:eastAsia="宋体" w:cs="宋体"/>
          <w:color w:val="auto"/>
          <w:szCs w:val="24"/>
          <w:highlight w:val="none"/>
        </w:rPr>
        <w:t>法定代表人（签字）：</w:t>
      </w:r>
    </w:p>
    <w:p w14:paraId="5E62845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 xml:space="preserve">地址：  </w:t>
      </w:r>
      <w:r>
        <w:rPr>
          <w:rFonts w:hint="eastAsia" w:ascii="宋体" w:hAnsi="宋体" w:cs="宋体"/>
          <w:color w:val="auto"/>
          <w:sz w:val="24"/>
          <w:szCs w:val="24"/>
          <w:highlight w:val="none"/>
          <w:lang w:val="en-US" w:eastAsia="zh-CN"/>
        </w:rPr>
        <w:t xml:space="preserve"> </w:t>
      </w:r>
    </w:p>
    <w:p w14:paraId="727736D5">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电话：                           传真：</w:t>
      </w:r>
    </w:p>
    <w:p w14:paraId="6153765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网址：                           邮编：</w:t>
      </w:r>
    </w:p>
    <w:p w14:paraId="3815810B">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联系人：</w:t>
      </w:r>
    </w:p>
    <w:p w14:paraId="1B3E39A5">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7DEA6841">
      <w:pPr>
        <w:pageBreakBefore w:val="0"/>
        <w:kinsoku/>
        <w:wordWrap/>
        <w:overflowPunct/>
        <w:topLinePunct w:val="0"/>
        <w:bidi w:val="0"/>
        <w:adjustRightInd w:val="0"/>
        <w:snapToGrid w:val="0"/>
        <w:spacing w:beforeAutospacing="0" w:afterAutospacing="0" w:line="288"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34138520">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288" w:lineRule="auto"/>
        <w:ind w:firstLine="56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服务文件</w:t>
      </w:r>
    </w:p>
    <w:p w14:paraId="40A0C492">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（一）整体服务方案</w:t>
      </w:r>
    </w:p>
    <w:p w14:paraId="41DF336C">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项目质量保障措施</w:t>
      </w:r>
    </w:p>
    <w:p w14:paraId="5E4C3908">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保密措施</w:t>
      </w:r>
    </w:p>
    <w:p w14:paraId="7D50F20A">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56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2032646A">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288" w:lineRule="auto"/>
        <w:ind w:left="0" w:leftChars="0" w:firstLine="56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商务文件</w:t>
      </w:r>
    </w:p>
    <w:p w14:paraId="32621AC9">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（一）</w:t>
      </w:r>
      <w:r>
        <w:rPr>
          <w:rFonts w:hint="eastAsia" w:ascii="宋体" w:hAnsi="宋体" w:cs="宋体"/>
          <w:color w:val="auto"/>
          <w:sz w:val="24"/>
          <w:szCs w:val="24"/>
          <w:highlight w:val="none"/>
        </w:rPr>
        <w:t>人员配置</w:t>
      </w:r>
    </w:p>
    <w:p w14:paraId="72E5D9BF">
      <w:pPr>
        <w:pageBreakBefore w:val="0"/>
        <w:tabs>
          <w:tab w:val="left" w:pos="6300"/>
        </w:tabs>
        <w:kinsoku/>
        <w:wordWrap/>
        <w:overflowPunct/>
        <w:topLinePunct w:val="0"/>
        <w:bidi w:val="0"/>
        <w:adjustRightInd w:val="0"/>
        <w:snapToGrid w:val="0"/>
        <w:spacing w:beforeAutospacing="0" w:afterAutospacing="0" w:line="288" w:lineRule="auto"/>
        <w:ind w:firstLine="480" w:firstLineChars="200"/>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业绩</w:t>
      </w:r>
    </w:p>
    <w:p w14:paraId="7680F392">
      <w:pPr>
        <w:keepNext w:val="0"/>
        <w:keepLines w:val="0"/>
        <w:pageBreakBefore w:val="0"/>
        <w:widowControl w:val="0"/>
        <w:numPr>
          <w:ilvl w:val="0"/>
          <w:numId w:val="0"/>
        </w:numPr>
        <w:tabs>
          <w:tab w:val="left" w:pos="6300"/>
        </w:tabs>
        <w:kinsoku/>
        <w:wordWrap/>
        <w:overflowPunct/>
        <w:topLinePunct w:val="0"/>
        <w:autoSpaceDE/>
        <w:autoSpaceDN/>
        <w:bidi w:val="0"/>
        <w:adjustRightInd w:val="0"/>
        <w:snapToGrid w:val="0"/>
        <w:spacing w:beforeAutospacing="0" w:afterAutospacing="0" w:line="288"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70241906">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Autospacing="0" w:line="288" w:lineRule="auto"/>
        <w:ind w:left="0" w:leftChars="0" w:firstLine="56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资格文件</w:t>
      </w:r>
    </w:p>
    <w:p w14:paraId="52EE4AFA">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（一）营业执照（副本）或事业单位法人证书（副本）复印件</w:t>
      </w:r>
    </w:p>
    <w:p w14:paraId="5A4F3883">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49F49167">
      <w:pPr>
        <w:keepNext w:val="0"/>
        <w:keepLines w:val="0"/>
        <w:pageBreakBefore w:val="0"/>
        <w:widowControl w:val="0"/>
        <w:numPr>
          <w:ilvl w:val="0"/>
          <w:numId w:val="2"/>
        </w:numPr>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法定代表人身份证明书（格式）</w:t>
      </w:r>
    </w:p>
    <w:p w14:paraId="3E51222E">
      <w:pPr>
        <w:keepNext w:val="0"/>
        <w:keepLines w:val="0"/>
        <w:pageBreakBefore w:val="0"/>
        <w:widowControl w:val="0"/>
        <w:numPr>
          <w:ilvl w:val="0"/>
          <w:numId w:val="0"/>
        </w:numPr>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710FB18E">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7B1EB766">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重庆市文物考古研究院（重庆文化遗产保护中心）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DB01E7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p>
    <w:p w14:paraId="02047E2D">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2134C1E5">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20F9C9F">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0D3BECEA">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30903B1B">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7DB2F2EB">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（供应商公章）</w:t>
      </w:r>
    </w:p>
    <w:p w14:paraId="71CA5906">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42E9DC2E">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34A9BA8E">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6A29F69B">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法定代表人电话：XXXXXXX      电子邮箱：XXXXXX@XXXXX（若授权他人办理并签署</w:t>
      </w:r>
      <w:r>
        <w:rPr>
          <w:rFonts w:hint="eastAsia" w:ascii="宋体" w:hAnsi="宋体" w:cs="宋体"/>
          <w:color w:val="auto"/>
          <w:sz w:val="24"/>
          <w:highlight w:val="none"/>
          <w:lang w:val="en-US" w:eastAsia="zh-CN"/>
        </w:rPr>
        <w:t>响应</w:t>
      </w:r>
      <w:r>
        <w:rPr>
          <w:rFonts w:hint="eastAsia" w:ascii="宋体" w:hAnsi="宋体" w:eastAsia="宋体" w:cs="宋体"/>
          <w:color w:val="auto"/>
          <w:sz w:val="24"/>
          <w:highlight w:val="none"/>
        </w:rPr>
        <w:t>文件的可不填写）</w:t>
      </w:r>
    </w:p>
    <w:p w14:paraId="540B1CBE">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3679CFE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6103CA6B">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813F2F0">
      <w:pPr>
        <w:keepNext w:val="0"/>
        <w:keepLines w:val="0"/>
        <w:pageBreakBefore w:val="0"/>
        <w:widowControl w:val="0"/>
        <w:numPr>
          <w:ilvl w:val="0"/>
          <w:numId w:val="2"/>
        </w:numPr>
        <w:tabs>
          <w:tab w:val="left" w:pos="6300"/>
        </w:tabs>
        <w:kinsoku/>
        <w:wordWrap/>
        <w:overflowPunct/>
        <w:topLinePunct w:val="0"/>
        <w:autoSpaceDE/>
        <w:autoSpaceDN/>
        <w:bidi w:val="0"/>
        <w:adjustRightInd w:val="0"/>
        <w:snapToGrid w:val="0"/>
        <w:spacing w:beforeAutospacing="0" w:afterAutospacing="0" w:line="288"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法定代表人授权委托书（格式）</w:t>
      </w:r>
    </w:p>
    <w:p w14:paraId="29A9962C">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szCs w:val="28"/>
          <w:highlight w:val="none"/>
        </w:rPr>
      </w:pPr>
    </w:p>
    <w:p w14:paraId="0DCBC662">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4EA194CA">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5DA6E00D">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重庆市文物考古研究院（重庆文化遗产保护中心）</w:t>
      </w:r>
      <w:r>
        <w:rPr>
          <w:rFonts w:hint="eastAsia" w:ascii="宋体" w:hAnsi="宋体" w:eastAsia="宋体" w:cs="宋体"/>
          <w:color w:val="auto"/>
          <w:sz w:val="24"/>
          <w:highlight w:val="none"/>
        </w:rPr>
        <w:t>：</w:t>
      </w:r>
    </w:p>
    <w:p w14:paraId="25AD96F5">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（供应商法定代表人名称）是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w:t>
      </w:r>
      <w:r>
        <w:rPr>
          <w:rFonts w:hint="eastAsia" w:ascii="宋体" w:hAnsi="宋体" w:cs="宋体"/>
          <w:color w:val="auto"/>
          <w:sz w:val="24"/>
          <w:highlight w:val="none"/>
          <w:lang w:val="en-US" w:eastAsia="zh-CN"/>
        </w:rPr>
        <w:t>响应</w:t>
      </w:r>
      <w:r>
        <w:rPr>
          <w:rFonts w:hint="eastAsia" w:ascii="宋体" w:hAnsi="宋体" w:eastAsia="宋体" w:cs="宋体"/>
          <w:color w:val="auto"/>
          <w:sz w:val="24"/>
          <w:highlight w:val="none"/>
        </w:rPr>
        <w:t>、谈判、签约等具体工作，并签署全部有关文件、协议及合同。</w:t>
      </w:r>
    </w:p>
    <w:p w14:paraId="0B63FC9A">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我单位对被授权人的签字负全部责任。</w:t>
      </w:r>
    </w:p>
    <w:p w14:paraId="1815C7DC">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在撤消授权的书面通知以前，本授权书一直有效。被授权人在授权书有效期内签署的所有文件不因授权的撤消而失效。</w:t>
      </w:r>
    </w:p>
    <w:p w14:paraId="30F503D6">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53701BE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6824E097">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供应商法定代表人：</w:t>
      </w:r>
    </w:p>
    <w:p w14:paraId="23524D1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（签字或盖章）                                （签字或盖章）</w:t>
      </w:r>
    </w:p>
    <w:p w14:paraId="0F541800">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szCs w:val="28"/>
          <w:highlight w:val="none"/>
        </w:rPr>
      </w:pPr>
    </w:p>
    <w:p w14:paraId="55E43A24">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13A2980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27111F49">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6A4D775">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046F82DC">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highlight w:val="none"/>
        </w:rPr>
      </w:pPr>
    </w:p>
    <w:p w14:paraId="65C8FDCC">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right="480" w:firstLine="480" w:firstLineChars="20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7EA204F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right="480" w:firstLine="480" w:firstLineChars="20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350A34C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right="48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w:t>
      </w:r>
      <w:r>
        <w:rPr>
          <w:rFonts w:hint="eastAsia" w:ascii="宋体" w:hAnsi="宋体" w:cs="宋体"/>
          <w:color w:val="auto"/>
          <w:sz w:val="24"/>
          <w:highlight w:val="none"/>
          <w:lang w:val="en-US" w:eastAsia="zh-CN"/>
        </w:rPr>
        <w:t>响应</w:t>
      </w:r>
      <w:r>
        <w:rPr>
          <w:rFonts w:hint="eastAsia" w:ascii="宋体" w:hAnsi="宋体" w:eastAsia="宋体" w:cs="宋体"/>
          <w:color w:val="auto"/>
          <w:sz w:val="24"/>
          <w:highlight w:val="none"/>
        </w:rPr>
        <w:t>文件的可不填写）</w:t>
      </w:r>
    </w:p>
    <w:p w14:paraId="6CC2A676">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right="48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570D3EB">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88" w:lineRule="auto"/>
        <w:ind w:left="57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1.若为法定代表人办理并签署</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文件的，不提供此文件。</w:t>
      </w:r>
    </w:p>
    <w:p w14:paraId="27682B47">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D84F433">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（四）基本资格条件承诺函（格式）</w:t>
      </w:r>
    </w:p>
    <w:p w14:paraId="43FBBE7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基本资格条件承诺函</w:t>
      </w:r>
    </w:p>
    <w:p w14:paraId="7CAA90E5">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szCs w:val="24"/>
          <w:highlight w:val="none"/>
        </w:rPr>
      </w:pPr>
    </w:p>
    <w:p w14:paraId="78DD5B46">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highlight w:val="none"/>
          <w:u w:val="single"/>
          <w:lang w:val="en-US" w:eastAsia="zh-CN"/>
        </w:rPr>
        <w:t>重庆市文物考古研究院（重庆文化遗产保护中心）</w:t>
      </w:r>
      <w:r>
        <w:rPr>
          <w:rFonts w:hint="eastAsia" w:ascii="宋体" w:hAnsi="宋体" w:eastAsia="宋体" w:cs="宋体"/>
          <w:color w:val="auto"/>
          <w:sz w:val="24"/>
          <w:szCs w:val="24"/>
          <w:highlight w:val="none"/>
        </w:rPr>
        <w:t>：</w:t>
      </w:r>
    </w:p>
    <w:p w14:paraId="0E044591">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（供应商名称）郑重承诺：</w:t>
      </w:r>
    </w:p>
    <w:p w14:paraId="35C948F3">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1.我方具有良好的商业信誉和健全的财务会计制度，具有履行合同所必需的设备和专业技术能力，具</w:t>
      </w:r>
      <w:r>
        <w:rPr>
          <w:rFonts w:hint="eastAsia" w:ascii="宋体" w:hAnsi="宋体" w:eastAsia="宋体" w:cs="宋体"/>
          <w:color w:val="auto"/>
          <w:sz w:val="24"/>
          <w:szCs w:val="24"/>
          <w:highlight w:val="none"/>
          <w:lang w:val="zh-CN"/>
        </w:rPr>
        <w:t>有依法缴纳税收和社会保障金的良好记录</w:t>
      </w:r>
      <w:r>
        <w:rPr>
          <w:rFonts w:hint="eastAsia" w:ascii="宋体" w:hAnsi="宋体" w:eastAsia="宋体" w:cs="宋体"/>
          <w:color w:val="auto"/>
          <w:sz w:val="24"/>
          <w:szCs w:val="24"/>
          <w:highlight w:val="none"/>
        </w:rPr>
        <w:t>，满足法律、行政法规规定的其他条件，参加本项目采购活动前三年内无重大违法活动记录。</w:t>
      </w:r>
    </w:p>
    <w:p w14:paraId="7DB30690">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44599E7A">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3.我方在采购项目评审（评标）环节结束后，随时接受采购人的检查验证，配合提供相关证明材料，证明符合《中华人民共和国政府采购法》规定的投标人基本资格条件。</w:t>
      </w:r>
    </w:p>
    <w:p w14:paraId="13568AED">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我方对以上承诺负全部法律责任。</w:t>
      </w:r>
    </w:p>
    <w:p w14:paraId="14FCE19F">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39247FC4">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0" w:firstLineChars="0"/>
        <w:textAlignment w:val="auto"/>
        <w:rPr>
          <w:rFonts w:hint="eastAsia" w:ascii="宋体" w:hAnsi="宋体" w:eastAsia="宋体" w:cs="宋体"/>
          <w:color w:val="auto"/>
          <w:sz w:val="24"/>
          <w:szCs w:val="24"/>
          <w:highlight w:val="none"/>
        </w:rPr>
      </w:pPr>
    </w:p>
    <w:p w14:paraId="08C87EB9">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right="424" w:firstLine="480" w:firstLineChars="20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w:t>
      </w:r>
    </w:p>
    <w:p w14:paraId="0437B3E3">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840CFDD">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ind w:leftChars="0" w:firstLine="0" w:firstLineChars="0"/>
        <w:textAlignment w:val="auto"/>
        <w:rPr>
          <w:rFonts w:hint="eastAsia" w:ascii="宋体" w:hAnsi="宋体" w:eastAsia="宋体" w:cs="宋体"/>
          <w:color w:val="auto"/>
          <w:highlight w:val="none"/>
          <w:lang w:val="en-US" w:eastAsia="zh-CN"/>
        </w:rPr>
      </w:pPr>
    </w:p>
    <w:p w14:paraId="04A49687">
      <w:pPr>
        <w:rPr>
          <w:rFonts w:hint="eastAsia" w:ascii="宋体" w:hAnsi="宋体" w:eastAsia="宋体" w:cs="宋体"/>
          <w:color w:val="auto"/>
          <w:highlight w:val="none"/>
          <w:lang w:val="en-US" w:eastAsia="zh-CN"/>
        </w:rPr>
      </w:pPr>
    </w:p>
    <w:p w14:paraId="480710D9">
      <w:pPr>
        <w:pStyle w:val="6"/>
        <w:rPr>
          <w:rFonts w:hint="eastAsia" w:ascii="宋体" w:hAnsi="宋体" w:eastAsia="宋体" w:cs="宋体"/>
          <w:color w:val="auto"/>
          <w:highlight w:val="none"/>
          <w:lang w:val="en-US" w:eastAsia="zh-CN"/>
        </w:rPr>
      </w:pPr>
    </w:p>
    <w:p w14:paraId="13E494C6">
      <w:pPr>
        <w:rPr>
          <w:rFonts w:hint="eastAsia" w:ascii="宋体" w:hAnsi="宋体" w:eastAsia="宋体" w:cs="宋体"/>
          <w:color w:val="auto"/>
          <w:highlight w:val="none"/>
          <w:lang w:val="en-US" w:eastAsia="zh-CN"/>
        </w:rPr>
      </w:pPr>
    </w:p>
    <w:p w14:paraId="2AE0C57D">
      <w:pPr>
        <w:pStyle w:val="6"/>
        <w:rPr>
          <w:rFonts w:hint="eastAsia" w:ascii="宋体" w:hAnsi="宋体" w:eastAsia="宋体" w:cs="宋体"/>
          <w:color w:val="auto"/>
          <w:highlight w:val="none"/>
          <w:lang w:val="en-US" w:eastAsia="zh-CN"/>
        </w:rPr>
      </w:pPr>
    </w:p>
    <w:p w14:paraId="5BF7ACEC">
      <w:pPr>
        <w:rPr>
          <w:rFonts w:hint="eastAsia" w:ascii="宋体" w:hAnsi="宋体" w:eastAsia="宋体" w:cs="宋体"/>
          <w:color w:val="auto"/>
          <w:highlight w:val="none"/>
          <w:lang w:val="en-US" w:eastAsia="zh-CN"/>
        </w:rPr>
      </w:pPr>
    </w:p>
    <w:p w14:paraId="3F23AA5C">
      <w:pPr>
        <w:pStyle w:val="6"/>
        <w:rPr>
          <w:rFonts w:hint="eastAsia" w:ascii="宋体" w:hAnsi="宋体" w:eastAsia="宋体" w:cs="宋体"/>
          <w:color w:val="auto"/>
          <w:highlight w:val="none"/>
          <w:lang w:val="en-US" w:eastAsia="zh-CN"/>
        </w:rPr>
      </w:pPr>
    </w:p>
    <w:p w14:paraId="21E7CFE4">
      <w:pPr>
        <w:rPr>
          <w:rFonts w:hint="eastAsia" w:ascii="宋体" w:hAnsi="宋体" w:eastAsia="宋体" w:cs="宋体"/>
          <w:color w:val="auto"/>
          <w:highlight w:val="none"/>
          <w:lang w:val="en-US" w:eastAsia="zh-CN"/>
        </w:rPr>
      </w:pPr>
    </w:p>
    <w:p w14:paraId="68761418">
      <w:pPr>
        <w:pStyle w:val="6"/>
        <w:rPr>
          <w:rFonts w:hint="eastAsia" w:ascii="宋体" w:hAnsi="宋体" w:eastAsia="宋体" w:cs="宋体"/>
          <w:color w:val="auto"/>
          <w:highlight w:val="none"/>
          <w:lang w:val="en-US" w:eastAsia="zh-CN"/>
        </w:rPr>
      </w:pPr>
    </w:p>
    <w:p w14:paraId="20654214">
      <w:pPr>
        <w:rPr>
          <w:rFonts w:hint="eastAsia" w:ascii="宋体" w:hAnsi="宋体" w:eastAsia="宋体" w:cs="宋体"/>
          <w:color w:val="auto"/>
          <w:highlight w:val="none"/>
          <w:lang w:val="en-US" w:eastAsia="zh-CN"/>
        </w:rPr>
      </w:pPr>
    </w:p>
    <w:p w14:paraId="2F2A058F">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jc w:val="left"/>
        <w:textAlignment w:val="auto"/>
        <w:rPr>
          <w:rFonts w:hint="eastAsia" w:ascii="宋体" w:hAnsi="宋体" w:eastAsia="宋体" w:cs="宋体"/>
          <w:color w:val="auto"/>
          <w:sz w:val="24"/>
          <w:szCs w:val="24"/>
          <w:highlight w:val="none"/>
        </w:rPr>
      </w:pPr>
    </w:p>
    <w:p w14:paraId="0D8D7882">
      <w:pPr>
        <w:keepNext w:val="0"/>
        <w:keepLines w:val="0"/>
        <w:pageBreakBefore w:val="0"/>
        <w:widowControl w:val="0"/>
        <w:tabs>
          <w:tab w:val="left" w:pos="6300"/>
        </w:tabs>
        <w:kinsoku/>
        <w:wordWrap/>
        <w:overflowPunct/>
        <w:topLinePunct w:val="0"/>
        <w:autoSpaceDE/>
        <w:autoSpaceDN/>
        <w:bidi w:val="0"/>
        <w:adjustRightInd w:val="0"/>
        <w:snapToGrid w:val="0"/>
        <w:spacing w:beforeAutospacing="0" w:afterAutospacing="0" w:line="288" w:lineRule="auto"/>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廉政风险防范承诺</w:t>
      </w:r>
      <w:r>
        <w:rPr>
          <w:rFonts w:hint="eastAsia" w:ascii="宋体" w:hAnsi="宋体" w:eastAsia="宋体" w:cs="宋体"/>
          <w:color w:val="auto"/>
          <w:sz w:val="24"/>
          <w:szCs w:val="24"/>
          <w:highlight w:val="none"/>
        </w:rPr>
        <w:t>（格式）</w:t>
      </w:r>
    </w:p>
    <w:p w14:paraId="642B6455">
      <w:pPr>
        <w:spacing w:before="156" w:beforeLines="50" w:after="156" w:afterLines="50" w:line="480" w:lineRule="auto"/>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廉政风险防范承诺</w:t>
      </w:r>
    </w:p>
    <w:p w14:paraId="6A9DF203">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为配合国家有关部门廉政建设的规定，保证采购项目实施高效优质，保证资金的安全和有效使用，我方郑重承诺：</w:t>
      </w:r>
    </w:p>
    <w:p w14:paraId="72D5CE1B">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1、不得向</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zh-CN"/>
        </w:rPr>
        <w:t>员工及其家属、子女、朋友赠送礼金、有价证券和物品；</w:t>
      </w:r>
    </w:p>
    <w:p w14:paraId="4556E5C0">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2、不得擅自与</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员工就某商品、材料、服务、工程项目的供应、建设问题进行私下商谈或者达成默契；</w:t>
      </w:r>
    </w:p>
    <w:p w14:paraId="5D4A5DE7">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员工个人及其家属、子女、朋友购置或提供通讯工具、交通工具、家电、旅游、娱乐活动等等；</w:t>
      </w:r>
    </w:p>
    <w:p w14:paraId="5782C7DC">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4、乙方不得为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员工及其家属、子女、朋友报销任何费用；</w:t>
      </w:r>
    </w:p>
    <w:p w14:paraId="4CCA9B68">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5、乙方不得为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员工及其家属、子女、朋友提供任何好处或便利，包括介绍工作、介绍项目、提供获利机会及借贷等事宜；</w:t>
      </w:r>
    </w:p>
    <w:p w14:paraId="0620D95A">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6、在整个货物（或服务）交易环节，均应公开透明进行，不得私下商议。所有交易行为均应符合商业通行惯例及法律法规，如</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员工有违反交易惯例的行为，如个人签约或另行指定转款账户的行为，均视为无效。</w:t>
      </w:r>
    </w:p>
    <w:p w14:paraId="4F36792D">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请采购方及其上级纪检和监察部门监督执行，如我方违反上述承诺，采购方可取消我方成交资格，涉嫌犯罪的除承担刑事责任外，给采购方造成经济损失的，应无条件予以赔偿。</w:t>
      </w:r>
    </w:p>
    <w:p w14:paraId="6AA658DA">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p>
    <w:p w14:paraId="1C78DAF7">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供应商（公章）：</w:t>
      </w:r>
    </w:p>
    <w:p w14:paraId="4D81BB97">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法定代表人或其授权的代理人（签字或签章）：</w:t>
      </w:r>
    </w:p>
    <w:p w14:paraId="2F43AF8A">
      <w:pPr>
        <w:keepNext w:val="0"/>
        <w:keepLines w:val="0"/>
        <w:pageBreakBefore w:val="0"/>
        <w:widowControl w:val="0"/>
        <w:kinsoku/>
        <w:wordWrap/>
        <w:overflowPunct/>
        <w:topLinePunct w:val="0"/>
        <w:autoSpaceDE/>
        <w:autoSpaceDN/>
        <w:bidi w:val="0"/>
        <w:adjustRightInd w:val="0"/>
        <w:snapToGrid w:val="0"/>
        <w:spacing w:beforeAutospacing="0" w:afterAutospacing="0" w:line="288"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 xml:space="preserve">年  月  日 </w:t>
      </w:r>
    </w:p>
    <w:sectPr>
      <w:footerReference r:id="rId5" w:type="default"/>
      <w:pgSz w:w="11906" w:h="16838"/>
      <w:pgMar w:top="1984" w:right="1446" w:bottom="1644" w:left="1446"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6733FFA-946A-41AF-A5C9-E2FBE309B5F8}"/>
  </w:font>
  <w:font w:name="方正仿宋_GBK">
    <w:panose1 w:val="02000000000000000000"/>
    <w:charset w:val="86"/>
    <w:family w:val="auto"/>
    <w:pitch w:val="default"/>
    <w:sig w:usb0="00000001" w:usb1="080E0000" w:usb2="00000000" w:usb3="00000000" w:csb0="00040000" w:csb1="00000000"/>
    <w:embedRegular r:id="rId2" w:fontKey="{34842EBD-71A9-4792-83F9-C6132162B4EF}"/>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8AA4A3D4-A99B-4ABA-85D2-A59F1F61C9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2271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EFA29">
                          <w:pPr>
                            <w:pStyle w:val="9"/>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9EFA29">
                    <w:pPr>
                      <w:pStyle w:val="9"/>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EACBD7"/>
    <w:multiLevelType w:val="singleLevel"/>
    <w:tmpl w:val="1CEACBD7"/>
    <w:lvl w:ilvl="0" w:tentative="0">
      <w:start w:val="2"/>
      <w:numFmt w:val="chineseCounting"/>
      <w:suff w:val="nothing"/>
      <w:lvlText w:val="%1、"/>
      <w:lvlJc w:val="left"/>
      <w:rPr>
        <w:rFonts w:hint="eastAsia"/>
      </w:rPr>
    </w:lvl>
  </w:abstractNum>
  <w:abstractNum w:abstractNumId="1">
    <w:nsid w:val="2C7BAC3A"/>
    <w:multiLevelType w:val="singleLevel"/>
    <w:tmpl w:val="2C7BAC3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jNWI3NDVkMWFmZDEwZDc1ZmM4MzZlZTgwMTQ0NTkifQ=="/>
  </w:docVars>
  <w:rsids>
    <w:rsidRoot w:val="59E049F9"/>
    <w:rsid w:val="00064C13"/>
    <w:rsid w:val="00086F93"/>
    <w:rsid w:val="0017384A"/>
    <w:rsid w:val="001B364E"/>
    <w:rsid w:val="001D10D5"/>
    <w:rsid w:val="00246061"/>
    <w:rsid w:val="002E6413"/>
    <w:rsid w:val="00304D8F"/>
    <w:rsid w:val="0030640D"/>
    <w:rsid w:val="00342047"/>
    <w:rsid w:val="003548C5"/>
    <w:rsid w:val="0036487C"/>
    <w:rsid w:val="00367CE0"/>
    <w:rsid w:val="003D1991"/>
    <w:rsid w:val="003E7BD8"/>
    <w:rsid w:val="00404D54"/>
    <w:rsid w:val="00421585"/>
    <w:rsid w:val="004A3312"/>
    <w:rsid w:val="004B48CF"/>
    <w:rsid w:val="004E3546"/>
    <w:rsid w:val="00581752"/>
    <w:rsid w:val="005F4816"/>
    <w:rsid w:val="00614881"/>
    <w:rsid w:val="00615EA1"/>
    <w:rsid w:val="006861B0"/>
    <w:rsid w:val="0073688F"/>
    <w:rsid w:val="007369A0"/>
    <w:rsid w:val="00786BF5"/>
    <w:rsid w:val="007C7BC8"/>
    <w:rsid w:val="008C4FCD"/>
    <w:rsid w:val="009923D2"/>
    <w:rsid w:val="00993073"/>
    <w:rsid w:val="00A46F64"/>
    <w:rsid w:val="00A87144"/>
    <w:rsid w:val="00AE3302"/>
    <w:rsid w:val="00C11603"/>
    <w:rsid w:val="00C313FB"/>
    <w:rsid w:val="00C646FA"/>
    <w:rsid w:val="00D115E7"/>
    <w:rsid w:val="00D119D7"/>
    <w:rsid w:val="00D13CB1"/>
    <w:rsid w:val="00D32689"/>
    <w:rsid w:val="00D70EC2"/>
    <w:rsid w:val="00DA54CF"/>
    <w:rsid w:val="00DA5DAF"/>
    <w:rsid w:val="00DB4E80"/>
    <w:rsid w:val="00E57DE3"/>
    <w:rsid w:val="00F0487F"/>
    <w:rsid w:val="00F4063A"/>
    <w:rsid w:val="00F46C9A"/>
    <w:rsid w:val="01543C57"/>
    <w:rsid w:val="01B0664E"/>
    <w:rsid w:val="022E1402"/>
    <w:rsid w:val="022F436A"/>
    <w:rsid w:val="031464AA"/>
    <w:rsid w:val="038327FA"/>
    <w:rsid w:val="03AC7D7B"/>
    <w:rsid w:val="04182746"/>
    <w:rsid w:val="0534627A"/>
    <w:rsid w:val="05607B00"/>
    <w:rsid w:val="058B3D03"/>
    <w:rsid w:val="073D32F5"/>
    <w:rsid w:val="084C5688"/>
    <w:rsid w:val="086230FE"/>
    <w:rsid w:val="09A3577C"/>
    <w:rsid w:val="09FD7D81"/>
    <w:rsid w:val="0AA12C4B"/>
    <w:rsid w:val="0ACD1B3D"/>
    <w:rsid w:val="0ADD3FAE"/>
    <w:rsid w:val="0B122005"/>
    <w:rsid w:val="0B9454AB"/>
    <w:rsid w:val="0BA61553"/>
    <w:rsid w:val="0BD41410"/>
    <w:rsid w:val="0BFC422F"/>
    <w:rsid w:val="0C296FB5"/>
    <w:rsid w:val="0CDD2D53"/>
    <w:rsid w:val="0DC6708C"/>
    <w:rsid w:val="0E3736F1"/>
    <w:rsid w:val="0E464928"/>
    <w:rsid w:val="0E8518F4"/>
    <w:rsid w:val="103C1664"/>
    <w:rsid w:val="10E540B1"/>
    <w:rsid w:val="117D4B05"/>
    <w:rsid w:val="131C260B"/>
    <w:rsid w:val="136E71D2"/>
    <w:rsid w:val="140D7D73"/>
    <w:rsid w:val="1421769B"/>
    <w:rsid w:val="14243BCA"/>
    <w:rsid w:val="148B7538"/>
    <w:rsid w:val="14932D03"/>
    <w:rsid w:val="14C46641"/>
    <w:rsid w:val="15791A87"/>
    <w:rsid w:val="15C059F3"/>
    <w:rsid w:val="1663076D"/>
    <w:rsid w:val="16771212"/>
    <w:rsid w:val="17CE60BA"/>
    <w:rsid w:val="181B0BD3"/>
    <w:rsid w:val="183D0015"/>
    <w:rsid w:val="18F41B50"/>
    <w:rsid w:val="191E1684"/>
    <w:rsid w:val="1972585E"/>
    <w:rsid w:val="19F87477"/>
    <w:rsid w:val="1A5F2FF9"/>
    <w:rsid w:val="1A736AA5"/>
    <w:rsid w:val="1B4E7A13"/>
    <w:rsid w:val="1B541453"/>
    <w:rsid w:val="1C1A2D59"/>
    <w:rsid w:val="1C2C33AF"/>
    <w:rsid w:val="1C914DAE"/>
    <w:rsid w:val="1CA83640"/>
    <w:rsid w:val="1CB239FF"/>
    <w:rsid w:val="1CB659F1"/>
    <w:rsid w:val="1D167BBB"/>
    <w:rsid w:val="1E193E07"/>
    <w:rsid w:val="1E5F5CBE"/>
    <w:rsid w:val="1EFF2FFD"/>
    <w:rsid w:val="1F51312D"/>
    <w:rsid w:val="1FAD4807"/>
    <w:rsid w:val="1FCA360B"/>
    <w:rsid w:val="1FD46237"/>
    <w:rsid w:val="201C6E50"/>
    <w:rsid w:val="20A57BD4"/>
    <w:rsid w:val="20C544AF"/>
    <w:rsid w:val="20C62DFD"/>
    <w:rsid w:val="20CB6CB7"/>
    <w:rsid w:val="213B5E42"/>
    <w:rsid w:val="214C2ADA"/>
    <w:rsid w:val="21CB2CC4"/>
    <w:rsid w:val="220152DE"/>
    <w:rsid w:val="22105521"/>
    <w:rsid w:val="226C29AA"/>
    <w:rsid w:val="22BB723B"/>
    <w:rsid w:val="240D7F6A"/>
    <w:rsid w:val="25981347"/>
    <w:rsid w:val="26072AA1"/>
    <w:rsid w:val="26E56F7C"/>
    <w:rsid w:val="270B65FE"/>
    <w:rsid w:val="270D67FE"/>
    <w:rsid w:val="27133A29"/>
    <w:rsid w:val="27321A96"/>
    <w:rsid w:val="27A74CA5"/>
    <w:rsid w:val="280C017D"/>
    <w:rsid w:val="283006CB"/>
    <w:rsid w:val="289A51D2"/>
    <w:rsid w:val="28CF44CD"/>
    <w:rsid w:val="28D11CDD"/>
    <w:rsid w:val="28EF40E2"/>
    <w:rsid w:val="29010B9E"/>
    <w:rsid w:val="29410070"/>
    <w:rsid w:val="29D00809"/>
    <w:rsid w:val="2AB96756"/>
    <w:rsid w:val="2ADC41F2"/>
    <w:rsid w:val="2AFE685E"/>
    <w:rsid w:val="2B094C67"/>
    <w:rsid w:val="2B2D0EF2"/>
    <w:rsid w:val="2B9106D3"/>
    <w:rsid w:val="2BBF5B57"/>
    <w:rsid w:val="2BED6535"/>
    <w:rsid w:val="2C482A44"/>
    <w:rsid w:val="2C964A81"/>
    <w:rsid w:val="2CF27CFD"/>
    <w:rsid w:val="2DB9081B"/>
    <w:rsid w:val="2E3A1195"/>
    <w:rsid w:val="2E3B3926"/>
    <w:rsid w:val="2E484F4F"/>
    <w:rsid w:val="2EBF2F4F"/>
    <w:rsid w:val="2EC20BCD"/>
    <w:rsid w:val="2EC211EA"/>
    <w:rsid w:val="2FC11C09"/>
    <w:rsid w:val="304765B2"/>
    <w:rsid w:val="30784247"/>
    <w:rsid w:val="30D23125"/>
    <w:rsid w:val="315A2315"/>
    <w:rsid w:val="328062C5"/>
    <w:rsid w:val="32B617CD"/>
    <w:rsid w:val="32C20171"/>
    <w:rsid w:val="32D54349"/>
    <w:rsid w:val="32F5491E"/>
    <w:rsid w:val="33354DE7"/>
    <w:rsid w:val="33907E8C"/>
    <w:rsid w:val="33E8735C"/>
    <w:rsid w:val="343E5F1E"/>
    <w:rsid w:val="347F2794"/>
    <w:rsid w:val="34884436"/>
    <w:rsid w:val="349E3D54"/>
    <w:rsid w:val="34A62CC8"/>
    <w:rsid w:val="356C00F9"/>
    <w:rsid w:val="371E0A02"/>
    <w:rsid w:val="381C797F"/>
    <w:rsid w:val="38926838"/>
    <w:rsid w:val="38AE3672"/>
    <w:rsid w:val="39002DFE"/>
    <w:rsid w:val="39FA6443"/>
    <w:rsid w:val="3A045513"/>
    <w:rsid w:val="3AA06FEA"/>
    <w:rsid w:val="3AB46F3A"/>
    <w:rsid w:val="3AE05CBA"/>
    <w:rsid w:val="3AE25855"/>
    <w:rsid w:val="3B18594C"/>
    <w:rsid w:val="3B924490"/>
    <w:rsid w:val="3B997DD0"/>
    <w:rsid w:val="3BE15B0C"/>
    <w:rsid w:val="3C07622C"/>
    <w:rsid w:val="3C1423E3"/>
    <w:rsid w:val="3C1B5BAC"/>
    <w:rsid w:val="3C463BC1"/>
    <w:rsid w:val="3E720C9E"/>
    <w:rsid w:val="3EC872CE"/>
    <w:rsid w:val="3EE37A50"/>
    <w:rsid w:val="3F0A35CC"/>
    <w:rsid w:val="3F1E3E33"/>
    <w:rsid w:val="3F9E5AC2"/>
    <w:rsid w:val="4048174B"/>
    <w:rsid w:val="405614B0"/>
    <w:rsid w:val="40E46B3F"/>
    <w:rsid w:val="410127AD"/>
    <w:rsid w:val="41197AF6"/>
    <w:rsid w:val="41612E9A"/>
    <w:rsid w:val="41662610"/>
    <w:rsid w:val="4168282C"/>
    <w:rsid w:val="41742F7F"/>
    <w:rsid w:val="41AA66E7"/>
    <w:rsid w:val="41DE4E43"/>
    <w:rsid w:val="424B3172"/>
    <w:rsid w:val="42725710"/>
    <w:rsid w:val="42C45840"/>
    <w:rsid w:val="43F81467"/>
    <w:rsid w:val="44562E10"/>
    <w:rsid w:val="448F3192"/>
    <w:rsid w:val="44A1408B"/>
    <w:rsid w:val="44A742AF"/>
    <w:rsid w:val="44C81693"/>
    <w:rsid w:val="466E2692"/>
    <w:rsid w:val="46C71DA3"/>
    <w:rsid w:val="47012E26"/>
    <w:rsid w:val="47197376"/>
    <w:rsid w:val="4763768D"/>
    <w:rsid w:val="48142270"/>
    <w:rsid w:val="48D367DD"/>
    <w:rsid w:val="4997611E"/>
    <w:rsid w:val="4A8A4377"/>
    <w:rsid w:val="4AA743C5"/>
    <w:rsid w:val="4B2E1B45"/>
    <w:rsid w:val="4C116F1B"/>
    <w:rsid w:val="4C6B6035"/>
    <w:rsid w:val="4C83676C"/>
    <w:rsid w:val="4CDD0016"/>
    <w:rsid w:val="4D0D45ED"/>
    <w:rsid w:val="4D737C3B"/>
    <w:rsid w:val="4E7D5950"/>
    <w:rsid w:val="4F895E47"/>
    <w:rsid w:val="4F934F18"/>
    <w:rsid w:val="4FA76912"/>
    <w:rsid w:val="50463BC3"/>
    <w:rsid w:val="505418DC"/>
    <w:rsid w:val="50630D8E"/>
    <w:rsid w:val="507E7976"/>
    <w:rsid w:val="51142088"/>
    <w:rsid w:val="516910D1"/>
    <w:rsid w:val="51D5531F"/>
    <w:rsid w:val="52727869"/>
    <w:rsid w:val="52901701"/>
    <w:rsid w:val="530A3D39"/>
    <w:rsid w:val="54700F99"/>
    <w:rsid w:val="54FC26B7"/>
    <w:rsid w:val="553D1193"/>
    <w:rsid w:val="56692FD1"/>
    <w:rsid w:val="56C105BC"/>
    <w:rsid w:val="56EE00F5"/>
    <w:rsid w:val="5764628E"/>
    <w:rsid w:val="57A51342"/>
    <w:rsid w:val="57AB018F"/>
    <w:rsid w:val="586D0C2B"/>
    <w:rsid w:val="58C22182"/>
    <w:rsid w:val="593257A1"/>
    <w:rsid w:val="596F60AE"/>
    <w:rsid w:val="599022FF"/>
    <w:rsid w:val="59D2663D"/>
    <w:rsid w:val="59E049F9"/>
    <w:rsid w:val="59ED08EF"/>
    <w:rsid w:val="5A39766B"/>
    <w:rsid w:val="5A8272CD"/>
    <w:rsid w:val="5AC056CA"/>
    <w:rsid w:val="5B751975"/>
    <w:rsid w:val="5BCE7A03"/>
    <w:rsid w:val="5CC84710"/>
    <w:rsid w:val="5EC53368"/>
    <w:rsid w:val="602D6CC3"/>
    <w:rsid w:val="60C2565D"/>
    <w:rsid w:val="610572F8"/>
    <w:rsid w:val="61572249"/>
    <w:rsid w:val="619B6010"/>
    <w:rsid w:val="61F061FA"/>
    <w:rsid w:val="623600B0"/>
    <w:rsid w:val="624774C3"/>
    <w:rsid w:val="627E3805"/>
    <w:rsid w:val="62D8753A"/>
    <w:rsid w:val="62FD0BCE"/>
    <w:rsid w:val="63853D7F"/>
    <w:rsid w:val="63A07F6E"/>
    <w:rsid w:val="63B84D56"/>
    <w:rsid w:val="64065861"/>
    <w:rsid w:val="657667D3"/>
    <w:rsid w:val="65A45331"/>
    <w:rsid w:val="65BA4A36"/>
    <w:rsid w:val="661311B8"/>
    <w:rsid w:val="6672542F"/>
    <w:rsid w:val="672030DD"/>
    <w:rsid w:val="67424E02"/>
    <w:rsid w:val="67801DCE"/>
    <w:rsid w:val="67FC1454"/>
    <w:rsid w:val="68CA15F7"/>
    <w:rsid w:val="69023EE9"/>
    <w:rsid w:val="69A00505"/>
    <w:rsid w:val="69A84119"/>
    <w:rsid w:val="6A7774B8"/>
    <w:rsid w:val="6A7A25D7"/>
    <w:rsid w:val="6AB04778"/>
    <w:rsid w:val="6B6C4B43"/>
    <w:rsid w:val="6B820737"/>
    <w:rsid w:val="6C1578A5"/>
    <w:rsid w:val="6DAF0041"/>
    <w:rsid w:val="6EB02F99"/>
    <w:rsid w:val="6EB20ABF"/>
    <w:rsid w:val="6EC1311E"/>
    <w:rsid w:val="6FD9207B"/>
    <w:rsid w:val="6FF375E1"/>
    <w:rsid w:val="708E182F"/>
    <w:rsid w:val="71272553"/>
    <w:rsid w:val="71CF7BDA"/>
    <w:rsid w:val="72AC7F1B"/>
    <w:rsid w:val="7314244A"/>
    <w:rsid w:val="734168B5"/>
    <w:rsid w:val="747C35A9"/>
    <w:rsid w:val="747E5633"/>
    <w:rsid w:val="752D2B8E"/>
    <w:rsid w:val="75B82733"/>
    <w:rsid w:val="76065B94"/>
    <w:rsid w:val="765C54A6"/>
    <w:rsid w:val="7675103A"/>
    <w:rsid w:val="76996286"/>
    <w:rsid w:val="76BA0E58"/>
    <w:rsid w:val="7752732D"/>
    <w:rsid w:val="77593166"/>
    <w:rsid w:val="776112D4"/>
    <w:rsid w:val="77912E40"/>
    <w:rsid w:val="77C47AB5"/>
    <w:rsid w:val="79147DDA"/>
    <w:rsid w:val="79782A19"/>
    <w:rsid w:val="79EC7DDC"/>
    <w:rsid w:val="7B6C0247"/>
    <w:rsid w:val="7BBF0CBF"/>
    <w:rsid w:val="7BFB59C6"/>
    <w:rsid w:val="7C086208"/>
    <w:rsid w:val="7C174657"/>
    <w:rsid w:val="7CB4634A"/>
    <w:rsid w:val="7CC3637C"/>
    <w:rsid w:val="7CED3690"/>
    <w:rsid w:val="7D311748"/>
    <w:rsid w:val="7D4B0E10"/>
    <w:rsid w:val="7DB67EA0"/>
    <w:rsid w:val="7E325778"/>
    <w:rsid w:val="7EAC2B50"/>
    <w:rsid w:val="7EEF54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paragraph" w:styleId="4">
    <w:name w:val="heading 3"/>
    <w:basedOn w:val="1"/>
    <w:next w:val="1"/>
    <w:qFormat/>
    <w:uiPriority w:val="0"/>
    <w:pPr>
      <w:keepNext/>
      <w:keepLines/>
      <w:spacing w:line="413" w:lineRule="auto"/>
      <w:jc w:val="center"/>
      <w:outlineLvl w:val="2"/>
    </w:pPr>
    <w:rPr>
      <w:b/>
      <w:sz w:val="44"/>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1"/>
    <w:qFormat/>
    <w:uiPriority w:val="0"/>
    <w:rPr>
      <w:rFonts w:ascii="仿宋_GB2312" w:eastAsia="仿宋_GB2312"/>
      <w:sz w:val="32"/>
    </w:rPr>
  </w:style>
  <w:style w:type="paragraph" w:styleId="7">
    <w:name w:val="Plain Text"/>
    <w:basedOn w:val="1"/>
    <w:qFormat/>
    <w:uiPriority w:val="0"/>
    <w:rPr>
      <w:rFonts w:ascii="宋体" w:hAnsi="Courier New"/>
      <w:sz w:val="21"/>
    </w:rPr>
  </w:style>
  <w:style w:type="paragraph" w:styleId="8">
    <w:name w:val="Body Text Indent 2"/>
    <w:basedOn w:val="1"/>
    <w:qFormat/>
    <w:uiPriority w:val="0"/>
    <w:pPr>
      <w:snapToGrid w:val="0"/>
      <w:spacing w:line="560" w:lineRule="atLeast"/>
      <w:ind w:firstLine="540"/>
    </w:pPr>
  </w:style>
  <w:style w:type="paragraph" w:styleId="9">
    <w:name w:val="footer"/>
    <w:basedOn w:val="1"/>
    <w:link w:val="23"/>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next w:val="13"/>
    <w:qFormat/>
    <w:uiPriority w:val="0"/>
    <w:pPr>
      <w:spacing w:line="360" w:lineRule="auto"/>
      <w:ind w:firstLine="420"/>
    </w:pPr>
    <w:rPr>
      <w:rFonts w:ascii="宋体" w:hAnsi="宋体"/>
      <w:sz w:val="24"/>
    </w:rPr>
  </w:style>
  <w:style w:type="paragraph" w:customStyle="1" w:styleId="13">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9"/>
    <w:qFormat/>
    <w:uiPriority w:val="0"/>
    <w:pPr>
      <w:widowControl/>
      <w:adjustRightInd w:val="0"/>
      <w:snapToGrid w:val="0"/>
      <w:spacing w:line="360" w:lineRule="auto"/>
      <w:ind w:firstLine="480" w:firstLineChars="200"/>
      <w:jc w:val="left"/>
      <w:textAlignment w:val="baseline"/>
    </w:pPr>
    <w:rPr>
      <w:rFonts w:ascii="宋体" w:hAnsi="宋体"/>
      <w:color w:val="000000"/>
      <w:kern w:val="0"/>
      <w:sz w:val="24"/>
    </w:rPr>
  </w:style>
  <w:style w:type="paragraph" w:customStyle="1" w:styleId="19">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Heading3"/>
    <w:basedOn w:val="1"/>
    <w:next w:val="1"/>
    <w:qFormat/>
    <w:uiPriority w:val="0"/>
    <w:pPr>
      <w:keepNext/>
      <w:keepLines/>
      <w:spacing w:before="260" w:after="260" w:line="412" w:lineRule="auto"/>
    </w:pPr>
    <w:rPr>
      <w:b/>
      <w:bCs/>
      <w:sz w:val="32"/>
      <w:szCs w:val="32"/>
    </w:rPr>
  </w:style>
  <w:style w:type="paragraph" w:customStyle="1" w:styleId="21">
    <w:name w:val="信息部正文"/>
    <w:basedOn w:val="1"/>
    <w:qFormat/>
    <w:uiPriority w:val="0"/>
    <w:pPr>
      <w:ind w:firstLine="480" w:firstLineChars="200"/>
    </w:pPr>
    <w:rPr>
      <w:rFonts w:ascii="宋体" w:hAnsi="宋体" w:cs="宋体"/>
    </w:rPr>
  </w:style>
  <w:style w:type="character" w:customStyle="1" w:styleId="22">
    <w:name w:val="页眉 字符"/>
    <w:basedOn w:val="16"/>
    <w:link w:val="10"/>
    <w:qFormat/>
    <w:uiPriority w:val="0"/>
    <w:rPr>
      <w:kern w:val="2"/>
      <w:sz w:val="18"/>
      <w:szCs w:val="18"/>
    </w:rPr>
  </w:style>
  <w:style w:type="character" w:customStyle="1" w:styleId="23">
    <w:name w:val="页脚 字符"/>
    <w:basedOn w:val="16"/>
    <w:link w:val="9"/>
    <w:qFormat/>
    <w:uiPriority w:val="0"/>
    <w:rPr>
      <w:kern w:val="2"/>
      <w:sz w:val="18"/>
      <w:szCs w:val="18"/>
    </w:rPr>
  </w:style>
  <w:style w:type="paragraph" w:styleId="24">
    <w:name w:val="List Paragraph"/>
    <w:basedOn w:val="1"/>
    <w:qFormat/>
    <w:uiPriority w:val="99"/>
    <w:pPr>
      <w:ind w:firstLine="420" w:firstLineChars="200"/>
    </w:pPr>
  </w:style>
  <w:style w:type="paragraph" w:customStyle="1" w:styleId="25">
    <w:name w:val="Default"/>
    <w:next w:val="1"/>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26">
    <w:name w:val="图例"/>
    <w:basedOn w:val="1"/>
    <w:qFormat/>
    <w:uiPriority w:val="0"/>
    <w:pPr>
      <w:spacing w:before="120" w:after="12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2876</Words>
  <Characters>2968</Characters>
  <Lines>18</Lines>
  <Paragraphs>5</Paragraphs>
  <TotalTime>15</TotalTime>
  <ScaleCrop>false</ScaleCrop>
  <LinksUpToDate>false</LinksUpToDate>
  <CharactersWithSpaces>2988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2025-05-08T06:27:00Z</dcterms:created>
  <dc:creator>丹姐</dc:creator>
  <cp:lastModifiedBy>航</cp:lastModifiedBy>
  <cp:lastPrinted>2026-05-25T06:53:00Z</cp:lastPrinted>
  <dcterms:modified xsi:type="dcterms:W3CDTF">2026-06-08T03:21:48Z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50B952556B0C40B8BC52D793F8D83A53_13</vt:lpwstr>
  </property>
  <property fmtid="{D5CDD505-2E9C-101B-9397-08002B2CF9AE}" pid="4" name="KSOTemplateDocerSaveRecord">
    <vt:lpwstr>eyJoZGlkIjoiY2Y4Njg0NGFmMzgwOWY1MjIxY2RhNmQ5MDY0NGQxMDUiLCJ1c2VySWQiOiI0MzM3MDk0NTkifQ==</vt:lpwstr>
  </property>
</Properties>
</file>