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0432D9">
      <w:pPr>
        <w:keepNext w:val="0"/>
        <w:keepLines w:val="0"/>
        <w:pageBreakBefore w:val="0"/>
        <w:widowControl w:val="0"/>
        <w:kinsoku/>
        <w:wordWrap/>
        <w:overflowPunct/>
        <w:topLinePunct w:val="0"/>
        <w:autoSpaceDE/>
        <w:autoSpaceDN/>
        <w:bidi w:val="0"/>
        <w:adjustRightInd/>
        <w:snapToGrid/>
        <w:spacing w:line="1040" w:lineRule="exact"/>
        <w:jc w:val="center"/>
        <w:textAlignment w:val="auto"/>
        <w:rPr>
          <w:rFonts w:hint="eastAsia" w:ascii="方正小标宋_GBK" w:hAnsi="方正小标宋_GBK" w:eastAsia="方正小标宋_GBK" w:cs="方正小标宋_GBK"/>
          <w:color w:val="auto"/>
          <w:sz w:val="84"/>
          <w:szCs w:val="84"/>
        </w:rPr>
      </w:pPr>
      <w:r>
        <w:rPr>
          <w:rFonts w:hint="eastAsia" w:ascii="方正小标宋_GBK" w:hAnsi="方正小标宋_GBK" w:eastAsia="方正小标宋_GBK" w:cs="方正小标宋_GBK"/>
          <w:color w:val="auto"/>
          <w:sz w:val="84"/>
          <w:szCs w:val="84"/>
        </w:rPr>
        <w:t>询价文件</w:t>
      </w:r>
    </w:p>
    <w:p w14:paraId="41DC19DD">
      <w:pPr>
        <w:spacing w:line="700" w:lineRule="exact"/>
        <w:ind w:left="3196" w:leftChars="570" w:hanging="1600" w:hangingChars="500"/>
        <w:rPr>
          <w:rFonts w:ascii="宋体" w:hAnsi="宋体" w:cs="宋体"/>
          <w:color w:val="auto"/>
          <w:sz w:val="32"/>
          <w:szCs w:val="32"/>
        </w:rPr>
      </w:pPr>
    </w:p>
    <w:p w14:paraId="018EABD6">
      <w:pPr>
        <w:spacing w:line="700" w:lineRule="exact"/>
        <w:ind w:left="3196" w:leftChars="570" w:hanging="1600" w:hangingChars="500"/>
        <w:rPr>
          <w:rFonts w:ascii="宋体" w:hAnsi="宋体" w:cs="宋体"/>
          <w:color w:val="auto"/>
          <w:sz w:val="32"/>
          <w:szCs w:val="32"/>
        </w:rPr>
      </w:pPr>
    </w:p>
    <w:p w14:paraId="4F672910">
      <w:pPr>
        <w:spacing w:line="700" w:lineRule="exact"/>
        <w:ind w:left="3196" w:leftChars="570" w:hanging="1600" w:hangingChars="500"/>
        <w:rPr>
          <w:rFonts w:ascii="宋体" w:hAnsi="宋体" w:cs="宋体"/>
          <w:color w:val="auto"/>
          <w:sz w:val="32"/>
          <w:szCs w:val="32"/>
        </w:rPr>
      </w:pPr>
    </w:p>
    <w:p w14:paraId="721D859B">
      <w:pPr>
        <w:tabs>
          <w:tab w:val="left" w:pos="6300"/>
        </w:tabs>
        <w:snapToGrid w:val="0"/>
        <w:spacing w:line="360" w:lineRule="auto"/>
        <w:ind w:firstLine="360" w:firstLineChars="100"/>
        <w:rPr>
          <w:rFonts w:hint="eastAsia" w:ascii="宋体" w:hAnsi="宋体" w:eastAsia="宋体" w:cs="宋体"/>
          <w:color w:val="auto"/>
          <w:sz w:val="36"/>
          <w:szCs w:val="36"/>
        </w:rPr>
      </w:pPr>
    </w:p>
    <w:p w14:paraId="16D5790F">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项目名称:</w:t>
      </w:r>
      <w:r>
        <w:rPr>
          <w:rFonts w:hint="eastAsia" w:ascii="方正小标宋_GBK" w:hAnsi="方正小标宋_GBK" w:eastAsia="方正小标宋_GBK" w:cs="方正小标宋_GBK"/>
          <w:color w:val="auto"/>
          <w:sz w:val="36"/>
          <w:szCs w:val="36"/>
          <w:lang w:val="en-US" w:eastAsia="zh-CN"/>
        </w:rPr>
        <w:t>食堂厨房油烟机及排烟系统清洗服务</w:t>
      </w:r>
    </w:p>
    <w:p w14:paraId="5B9E1A75">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4C344E78">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43D1B8CD">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0E6A4FB1">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5588F535">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0FF9EBAA">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p>
    <w:p w14:paraId="4F2FF099">
      <w:pPr>
        <w:keepNext w:val="0"/>
        <w:keepLines w:val="0"/>
        <w:pageBreakBefore w:val="0"/>
        <w:widowControl w:val="0"/>
        <w:kinsoku/>
        <w:wordWrap/>
        <w:overflowPunct/>
        <w:topLinePunct w:val="0"/>
        <w:autoSpaceDE/>
        <w:autoSpaceDN/>
        <w:bidi w:val="0"/>
        <w:adjustRightInd/>
        <w:snapToGrid/>
        <w:spacing w:line="680" w:lineRule="exact"/>
        <w:ind w:firstLine="720" w:firstLineChars="200"/>
        <w:jc w:val="both"/>
        <w:textAlignment w:val="auto"/>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采购人：</w:t>
      </w:r>
      <w:r>
        <w:rPr>
          <w:rFonts w:hint="eastAsia" w:ascii="方正小标宋_GBK" w:hAnsi="方正小标宋_GBK" w:eastAsia="方正小标宋_GBK" w:cs="方正小标宋_GBK"/>
          <w:color w:val="auto"/>
          <w:sz w:val="36"/>
          <w:szCs w:val="36"/>
          <w:lang w:val="en-US" w:eastAsia="zh-CN"/>
        </w:rPr>
        <w:t xml:space="preserve"> </w:t>
      </w:r>
      <w:r>
        <w:rPr>
          <w:rFonts w:hint="eastAsia" w:ascii="方正小标宋_GBK" w:hAnsi="方正小标宋_GBK" w:eastAsia="方正小标宋_GBK" w:cs="方正小标宋_GBK"/>
          <w:color w:val="auto"/>
          <w:sz w:val="36"/>
          <w:szCs w:val="36"/>
        </w:rPr>
        <w:t>重庆市文物考古研究院</w:t>
      </w:r>
    </w:p>
    <w:p w14:paraId="4BE01998">
      <w:pPr>
        <w:keepNext w:val="0"/>
        <w:keepLines w:val="0"/>
        <w:pageBreakBefore w:val="0"/>
        <w:widowControl w:val="0"/>
        <w:kinsoku/>
        <w:wordWrap/>
        <w:overflowPunct/>
        <w:topLinePunct w:val="0"/>
        <w:autoSpaceDE/>
        <w:autoSpaceDN/>
        <w:bidi w:val="0"/>
        <w:adjustRightInd/>
        <w:snapToGrid/>
        <w:spacing w:line="680" w:lineRule="exact"/>
        <w:ind w:firstLine="1800" w:firstLineChars="500"/>
        <w:jc w:val="both"/>
        <w:textAlignment w:val="auto"/>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（重庆文化遗产保护中心）</w:t>
      </w:r>
    </w:p>
    <w:p w14:paraId="3F3A06B6">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color w:val="auto"/>
          <w:sz w:val="36"/>
          <w:szCs w:val="36"/>
        </w:rPr>
      </w:pPr>
    </w:p>
    <w:p w14:paraId="7D79CB13">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color w:val="auto"/>
          <w:sz w:val="36"/>
          <w:szCs w:val="36"/>
        </w:rPr>
      </w:pPr>
    </w:p>
    <w:p w14:paraId="18177A8C">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color w:val="auto"/>
          <w:sz w:val="36"/>
          <w:szCs w:val="36"/>
        </w:rPr>
      </w:pPr>
    </w:p>
    <w:p w14:paraId="626F8FFC">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t>二〇二六年</w:t>
      </w:r>
      <w:r>
        <w:rPr>
          <w:rFonts w:hint="eastAsia" w:ascii="方正小标宋_GBK" w:hAnsi="方正小标宋_GBK" w:eastAsia="方正小标宋_GBK" w:cs="方正小标宋_GBK"/>
          <w:color w:val="auto"/>
          <w:sz w:val="36"/>
          <w:szCs w:val="36"/>
          <w:lang w:val="en-US" w:eastAsia="zh-CN"/>
        </w:rPr>
        <w:t>六</w:t>
      </w:r>
      <w:r>
        <w:rPr>
          <w:rFonts w:hint="eastAsia" w:ascii="方正小标宋_GBK" w:hAnsi="方正小标宋_GBK" w:eastAsia="方正小标宋_GBK" w:cs="方正小标宋_GBK"/>
          <w:color w:val="auto"/>
          <w:sz w:val="36"/>
          <w:szCs w:val="36"/>
        </w:rPr>
        <w:t>月</w:t>
      </w:r>
    </w:p>
    <w:p w14:paraId="033177C1">
      <w:pPr>
        <w:rPr>
          <w:rFonts w:hint="eastAsia" w:ascii="方正小标宋_GBK" w:hAnsi="方正小标宋_GBK" w:eastAsia="方正小标宋_GBK" w:cs="方正小标宋_GBK"/>
          <w:color w:val="auto"/>
          <w:sz w:val="36"/>
          <w:szCs w:val="36"/>
        </w:rPr>
      </w:pPr>
      <w:r>
        <w:rPr>
          <w:rFonts w:hint="eastAsia" w:ascii="方正小标宋_GBK" w:hAnsi="方正小标宋_GBK" w:eastAsia="方正小标宋_GBK" w:cs="方正小标宋_GBK"/>
          <w:color w:val="auto"/>
          <w:sz w:val="36"/>
          <w:szCs w:val="36"/>
        </w:rPr>
        <w:br w:type="page"/>
      </w:r>
    </w:p>
    <w:p w14:paraId="63FFE5FA">
      <w:pPr>
        <w:keepNext w:val="0"/>
        <w:keepLines w:val="0"/>
        <w:pageBreakBefore w:val="0"/>
        <w:widowControl w:val="0"/>
        <w:kinsoku/>
        <w:wordWrap/>
        <w:overflowPunct/>
        <w:topLinePunct w:val="0"/>
        <w:autoSpaceDE/>
        <w:autoSpaceDN/>
        <w:bidi w:val="0"/>
        <w:adjustRightInd/>
        <w:snapToGrid/>
        <w:spacing w:line="680" w:lineRule="exact"/>
        <w:jc w:val="center"/>
        <w:textAlignment w:val="auto"/>
        <w:rPr>
          <w:rFonts w:hint="eastAsia" w:ascii="方正小标宋_GBK" w:hAnsi="方正小标宋_GBK" w:eastAsia="方正小标宋_GBK" w:cs="方正小标宋_GBK"/>
          <w:color w:val="auto"/>
          <w:sz w:val="44"/>
          <w:szCs w:val="44"/>
        </w:rPr>
      </w:pPr>
      <w:r>
        <w:rPr>
          <w:rFonts w:hint="eastAsia" w:ascii="方正小标宋_GBK" w:hAnsi="方正小标宋_GBK" w:eastAsia="方正小标宋_GBK" w:cs="方正小标宋_GBK"/>
          <w:color w:val="auto"/>
          <w:sz w:val="44"/>
          <w:szCs w:val="44"/>
        </w:rPr>
        <w:t>询价公告</w:t>
      </w:r>
    </w:p>
    <w:p w14:paraId="7079C13F">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一、服务内容</w:t>
      </w:r>
    </w:p>
    <w:p w14:paraId="5C8F622B">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院食堂油烟系统:湿法油烟净化一体机烟罩（规格型号：洁特铭L*1350*800）1组、单吸式风机（规格型号：科旭25’11KW/380V）1组、低噪音风机（规格型号：科旭20’5.5KW/380V）1组、油烟净化器(规格型号：世纪百利16000风量/h）1组、排烟管道（约</w:t>
      </w:r>
      <w:r>
        <w:rPr>
          <w:rFonts w:hint="eastAsia" w:ascii="宋体" w:hAnsi="宋体" w:cs="宋体"/>
          <w:color w:val="auto"/>
          <w:sz w:val="24"/>
          <w:szCs w:val="24"/>
          <w:lang w:val="en-US" w:eastAsia="zh-CN"/>
        </w:rPr>
        <w:t>8</w:t>
      </w:r>
      <w:r>
        <w:rPr>
          <w:rFonts w:hint="eastAsia" w:ascii="宋体" w:hAnsi="宋体" w:cs="宋体"/>
          <w:color w:val="auto"/>
          <w:sz w:val="24"/>
          <w:szCs w:val="24"/>
        </w:rPr>
        <w:t>m）、燃气节能双头双尾炉（规格型号：鑫永兴2100*1200*1200）1台、燃气节能双头双尾炉（规格型号：鑫永兴2000*1200*1200）1台、燃气单头平头炉（规格型号：鑫永兴700*700*500）1台，因长期使用积聚大量油污，现拟对整套油烟系统及油烟机上方吊顶区域（</w:t>
      </w:r>
      <w:r>
        <w:rPr>
          <w:rFonts w:hint="eastAsia" w:ascii="宋体" w:hAnsi="宋体" w:cs="宋体"/>
          <w:color w:val="auto"/>
          <w:sz w:val="24"/>
          <w:szCs w:val="24"/>
          <w:lang w:val="en-US" w:eastAsia="zh-CN"/>
        </w:rPr>
        <w:t>60</w:t>
      </w:r>
      <w:r>
        <w:rPr>
          <w:rFonts w:hint="eastAsia" w:ascii="宋体" w:hAnsi="宋体" w:cs="宋体"/>
          <w:color w:val="auto"/>
          <w:sz w:val="24"/>
          <w:szCs w:val="24"/>
        </w:rPr>
        <w:t>m²）开展专业深度清洗与维护服务。本项目为全包式服务，旨在消除消防安全隐患、改善后厨卫生环境、保障设备稳定运行。本项目采购最高限价：人民币20000元，大写：贰万元整。</w:t>
      </w:r>
    </w:p>
    <w:p w14:paraId="113C9C2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项目服务合同服务周期为两年，固定服务频次为每季度清洗1次，合同期内累计完成清洗服务共8次，每次服务均须严格遵照本文件全部技术标准、服务明细、施工规范执行，确保每次清洗服务质量达标、流程合规、资料齐全。</w:t>
      </w:r>
    </w:p>
    <w:p w14:paraId="7E77E4DC">
      <w:pPr>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二、技术要求</w:t>
      </w:r>
    </w:p>
    <w:p w14:paraId="290BFC89">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本次清洗服务须严格遵守《中华人民共和国食品安全法》、T/BJXF 010—2024《集排油烟设施清洗服务规范》、T/CQSES33-2025《餐饮油烟治理设施设计、安装及运行维护技术规范》、《中华人民共和国消防法》、GB/T 40248-2021《人员密集场所消防安全管理》、《中华人民共和国大气污染防治法》及消防安全、油烟排放、食品安全相关管理规定，严格执行作业流程、严控清洗质量、严守安全规范，保质保量完成全部清洗作业，具体工作内容及技术标准如下：</w:t>
      </w:r>
    </w:p>
    <w:p w14:paraId="5DD7050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清洗范围全覆盖：对食堂后厨整套油烟系统、油烟机上方全部天花板区域、后厨灶台、锅圈、灶底地面实施全方位深度清洗，包含油烟机灶台集烟罩、油烟管道、烟道、离心风机、静音风机、油烟净化器、出风口，以及油烟机上方吊顶板面、吊顶收边缝隙、灯具周边、管线夹缝、烟罩与吊顶衔接位置、灶台台面、锅圈缝隙、灶底地面及边角死角等所有配套区域，全面清除油污，无死角、无遗漏、无油污及积油残留。</w:t>
      </w:r>
    </w:p>
    <w:p w14:paraId="4D7AB1F1">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深度拆解与顽固油污清除：对设备内部叶轮、滤网、风道内壁进行彻底拆解清洗，去除顽固油垢、油泥结块；天花板区域采用人工铲除固化厚油垢，配合专用环保药剂擦拭冲洗，完工后即时擦干复原，严格杜绝渗水、吊顶受潮变形、线路短路等问题；灶台、锅圈重点清除缝隙内嵌顿油垢、碳化污渍、顽固油渍，做到台面洁净、缝隙无残留；灶底地面铲除固化油污、油泥、污渍，清理地面边角、设备底部死角油污，清洁后地面干净整洁、无油腻、无结块积油。清洗后设备通风排烟顺畅，无油烟倒灌、排烟不畅、排风阻力大等现象，吊顶结构完好无损伤、无变形，后厨灶台、锅圈、灶底地面干净整洁、无油污残留。</w:t>
      </w:r>
    </w:p>
    <w:p w14:paraId="0FCF11AB">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清洗剂与设备保护要求：清洗全程使用环保、无腐蚀的专用清洗剂，不得使用强腐蚀性药剂，确保不损伤设备漆面、金属结构、电路配件、密封胶条、吊顶装饰板材及灶台台面材质，清洗后设备、灶台、厨具外观无变色、无脱漆、无腐蚀痕迹、无材质损伤。</w:t>
      </w:r>
    </w:p>
    <w:p w14:paraId="159E21A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设备调试与安全检查：清洗完成后对整套油烟系统进行全面调试检修，检查风机运转状态、管道密封性、防火阀启闭、净化器工作情况，确保所有油烟设备运行正常、静音稳定、无抖动无异响；天花板清洗完成后全面检查吊顶板材、暗藏线路、灯具底座，排除受潮、短路、松动等安全隐患；同步检查灶台管线、地面排水、边角结构，确保无油污堵塞、无积水积油、无安全隐患。</w:t>
      </w:r>
    </w:p>
    <w:p w14:paraId="456BB338">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现场防护与污染管控：施工全程对后厨地面、灶台、锅圈、灶底、厨具、餐具、墙面、电器线路、食材区域进行全覆盖遮盖防护，采取防滴漏、防飞溅措施，坚决避免污水、油污二次污染；施工完毕后立即清理现场卫生，密闭收集并清运废油、油污垃圾、施工废弃物，恢复食堂原貌。</w:t>
      </w:r>
    </w:p>
    <w:p w14:paraId="5520845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工期与质保要求：为保障单位职工正常就餐秩序，全部清洗、调试、现场清洁复原工作须在4小时内一次性完工，施工时段严格避开职工就餐高峰期；本项目完工后提供3个月免费质保服务，质保期内若出现油污返渗、排烟不畅、设备异响故障、吊顶油污回渗、墙面吊顶受潮发霉、灶台锅圈油污复发、灶底地面积油返污等清洗质量问题，服务商须在接到通知后2小时内免费上门返工整改，直至验收合格，并承担全部人工、材料、清运等整改成本。</w:t>
      </w:r>
    </w:p>
    <w:p w14:paraId="58F59DBF">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三、服务明细内容</w:t>
      </w:r>
    </w:p>
    <w:tbl>
      <w:tblPr>
        <w:tblStyle w:val="8"/>
        <w:tblW w:w="8952" w:type="dxa"/>
        <w:tblInd w:w="19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7"/>
        <w:gridCol w:w="1635"/>
        <w:gridCol w:w="3854"/>
        <w:gridCol w:w="681"/>
        <w:gridCol w:w="680"/>
        <w:gridCol w:w="1385"/>
      </w:tblGrid>
      <w:tr w14:paraId="059F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exact"/>
        </w:trPr>
        <w:tc>
          <w:tcPr>
            <w:tcW w:w="717" w:type="dxa"/>
            <w:vAlign w:val="top"/>
          </w:tcPr>
          <w:p w14:paraId="28A2AF9C">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序号</w:t>
            </w:r>
          </w:p>
        </w:tc>
        <w:tc>
          <w:tcPr>
            <w:tcW w:w="1635" w:type="dxa"/>
            <w:vAlign w:val="top"/>
          </w:tcPr>
          <w:p w14:paraId="509BE6CF">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服务项目</w:t>
            </w:r>
          </w:p>
        </w:tc>
        <w:tc>
          <w:tcPr>
            <w:tcW w:w="3854" w:type="dxa"/>
            <w:vAlign w:val="top"/>
          </w:tcPr>
          <w:p w14:paraId="17CA0DE3">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服务标准</w:t>
            </w:r>
          </w:p>
        </w:tc>
        <w:tc>
          <w:tcPr>
            <w:tcW w:w="681" w:type="dxa"/>
            <w:vAlign w:val="top"/>
          </w:tcPr>
          <w:p w14:paraId="75C38DE3">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单位</w:t>
            </w:r>
          </w:p>
        </w:tc>
        <w:tc>
          <w:tcPr>
            <w:tcW w:w="680" w:type="dxa"/>
            <w:vAlign w:val="top"/>
          </w:tcPr>
          <w:p w14:paraId="309086D6">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数量</w:t>
            </w:r>
          </w:p>
        </w:tc>
        <w:tc>
          <w:tcPr>
            <w:tcW w:w="1385" w:type="dxa"/>
            <w:vAlign w:val="top"/>
          </w:tcPr>
          <w:p w14:paraId="66F54B8E">
            <w:pPr>
              <w:numPr>
                <w:ilvl w:val="0"/>
                <w:numId w:val="0"/>
              </w:numPr>
              <w:snapToGrid w:val="0"/>
              <w:spacing w:line="360" w:lineRule="auto"/>
              <w:jc w:val="center"/>
              <w:rPr>
                <w:rFonts w:hint="eastAsia" w:ascii="宋体" w:hAnsi="宋体" w:cs="宋体"/>
                <w:color w:val="auto"/>
                <w:sz w:val="21"/>
                <w:szCs w:val="21"/>
                <w:vertAlign w:val="baseline"/>
              </w:rPr>
            </w:pPr>
            <w:r>
              <w:rPr>
                <w:rFonts w:hint="eastAsia" w:ascii="宋体" w:hAnsi="宋体" w:cs="宋体"/>
                <w:color w:val="auto"/>
                <w:sz w:val="21"/>
                <w:szCs w:val="21"/>
              </w:rPr>
              <w:t>备注</w:t>
            </w:r>
          </w:p>
        </w:tc>
      </w:tr>
      <w:tr w14:paraId="51066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3" w:hRule="exact"/>
        </w:trPr>
        <w:tc>
          <w:tcPr>
            <w:tcW w:w="717" w:type="dxa"/>
            <w:vAlign w:val="top"/>
          </w:tcPr>
          <w:p w14:paraId="0B5B278E">
            <w:pPr>
              <w:numPr>
                <w:ilvl w:val="0"/>
                <w:numId w:val="0"/>
              </w:numPr>
              <w:snapToGrid w:val="0"/>
              <w:spacing w:line="600" w:lineRule="auto"/>
              <w:jc w:val="center"/>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1</w:t>
            </w:r>
          </w:p>
        </w:tc>
        <w:tc>
          <w:tcPr>
            <w:tcW w:w="1635" w:type="dxa"/>
            <w:vAlign w:val="center"/>
          </w:tcPr>
          <w:p w14:paraId="17B13778">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油烟机集烟罩、滤网深度清洗</w:t>
            </w:r>
          </w:p>
        </w:tc>
        <w:tc>
          <w:tcPr>
            <w:tcW w:w="3854" w:type="dxa"/>
            <w:vAlign w:val="center"/>
          </w:tcPr>
          <w:p w14:paraId="7AE280AF">
            <w:pPr>
              <w:keepNext w:val="0"/>
              <w:keepLines w:val="0"/>
              <w:widowControl/>
              <w:suppressLineNumbers w:val="0"/>
              <w:jc w:val="left"/>
              <w:textAlignment w:val="center"/>
              <w:rPr>
                <w:rFonts w:hint="eastAsia" w:ascii="宋体" w:hAnsi="宋体" w:cs="宋体"/>
                <w:color w:val="auto"/>
                <w:sz w:val="18"/>
                <w:szCs w:val="18"/>
                <w:lang w:eastAsia="zh-CN"/>
              </w:rPr>
            </w:pPr>
            <w:r>
              <w:rPr>
                <w:rFonts w:hint="eastAsia" w:ascii="宋体" w:hAnsi="宋体" w:eastAsia="宋体" w:cs="宋体"/>
                <w:i w:val="0"/>
                <w:iCs w:val="0"/>
                <w:color w:val="auto"/>
                <w:kern w:val="0"/>
                <w:sz w:val="18"/>
                <w:szCs w:val="18"/>
                <w:u w:val="none"/>
                <w:lang w:val="en-US" w:eastAsia="zh-CN" w:bidi="ar"/>
              </w:rPr>
              <w:t>对烟罩内外、滤网全域拆解清洗，彻底清除油污、油泥、残渣，抛光清洁，表面洁净无积油、无粘稠附着，安装复位后密封完好</w:t>
            </w:r>
          </w:p>
        </w:tc>
        <w:tc>
          <w:tcPr>
            <w:tcW w:w="681" w:type="dxa"/>
            <w:vAlign w:val="center"/>
          </w:tcPr>
          <w:p w14:paraId="2F1BCB4E">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项</w:t>
            </w:r>
          </w:p>
        </w:tc>
        <w:tc>
          <w:tcPr>
            <w:tcW w:w="680" w:type="dxa"/>
            <w:vAlign w:val="center"/>
          </w:tcPr>
          <w:p w14:paraId="485C7725">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1</w:t>
            </w:r>
          </w:p>
        </w:tc>
        <w:tc>
          <w:tcPr>
            <w:tcW w:w="1385" w:type="dxa"/>
            <w:vAlign w:val="center"/>
          </w:tcPr>
          <w:p w14:paraId="33990706">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含拆解、深度除垢、复位安装、运行调试</w:t>
            </w:r>
          </w:p>
        </w:tc>
      </w:tr>
      <w:tr w14:paraId="76838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exact"/>
        </w:trPr>
        <w:tc>
          <w:tcPr>
            <w:tcW w:w="717" w:type="dxa"/>
            <w:vAlign w:val="top"/>
          </w:tcPr>
          <w:p w14:paraId="7762E078">
            <w:pPr>
              <w:numPr>
                <w:ilvl w:val="0"/>
                <w:numId w:val="0"/>
              </w:numPr>
              <w:snapToGrid w:val="0"/>
              <w:spacing w:line="600" w:lineRule="auto"/>
              <w:jc w:val="center"/>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2</w:t>
            </w:r>
          </w:p>
        </w:tc>
        <w:tc>
          <w:tcPr>
            <w:tcW w:w="1635" w:type="dxa"/>
            <w:vAlign w:val="center"/>
          </w:tcPr>
          <w:p w14:paraId="1140FDC7">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油烟管道、烟道系统清洗</w:t>
            </w:r>
          </w:p>
        </w:tc>
        <w:tc>
          <w:tcPr>
            <w:tcW w:w="3854" w:type="dxa"/>
            <w:vAlign w:val="center"/>
          </w:tcPr>
          <w:p w14:paraId="2369FEE9">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全面清洗横管、竖管、弯头、变径、接口全段管道（总长约10m），管道内壁油垢清除率≥95%，彻底疏通烟道，排烟通畅无堵塞、无积油残留</w:t>
            </w:r>
          </w:p>
        </w:tc>
        <w:tc>
          <w:tcPr>
            <w:tcW w:w="681" w:type="dxa"/>
            <w:vAlign w:val="center"/>
          </w:tcPr>
          <w:p w14:paraId="39BA7BBE">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项</w:t>
            </w:r>
          </w:p>
        </w:tc>
        <w:tc>
          <w:tcPr>
            <w:tcW w:w="680" w:type="dxa"/>
            <w:vAlign w:val="center"/>
          </w:tcPr>
          <w:p w14:paraId="686E7CB9">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1</w:t>
            </w:r>
          </w:p>
        </w:tc>
        <w:tc>
          <w:tcPr>
            <w:tcW w:w="1385" w:type="dxa"/>
            <w:vAlign w:val="center"/>
          </w:tcPr>
          <w:p w14:paraId="608020B6">
            <w:pPr>
              <w:keepNext w:val="0"/>
              <w:keepLines w:val="0"/>
              <w:widowControl/>
              <w:suppressLineNumbers w:val="0"/>
              <w:jc w:val="left"/>
              <w:textAlignment w:val="center"/>
              <w:rPr>
                <w:rFonts w:hint="eastAsia" w:ascii="宋体" w:hAnsi="宋体" w:eastAsia="宋体" w:cs="宋体"/>
                <w:color w:val="auto"/>
                <w:sz w:val="18"/>
                <w:szCs w:val="18"/>
                <w:vertAlign w:val="baseline"/>
                <w:lang w:eastAsia="zh-CN"/>
              </w:rPr>
            </w:pPr>
            <w:r>
              <w:rPr>
                <w:rFonts w:hint="eastAsia" w:ascii="宋体" w:hAnsi="宋体" w:eastAsia="宋体" w:cs="宋体"/>
                <w:i w:val="0"/>
                <w:iCs w:val="0"/>
                <w:color w:val="auto"/>
                <w:kern w:val="0"/>
                <w:sz w:val="18"/>
                <w:szCs w:val="18"/>
                <w:u w:val="none"/>
                <w:lang w:val="en-US" w:eastAsia="zh-CN" w:bidi="ar"/>
              </w:rPr>
              <w:t>全覆盖无死角疏通清洁，保障排风达标</w:t>
            </w:r>
          </w:p>
        </w:tc>
      </w:tr>
      <w:tr w14:paraId="6681B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5" w:hRule="exact"/>
        </w:trPr>
        <w:tc>
          <w:tcPr>
            <w:tcW w:w="717" w:type="dxa"/>
            <w:vAlign w:val="top"/>
          </w:tcPr>
          <w:p w14:paraId="7C418987">
            <w:pPr>
              <w:numPr>
                <w:ilvl w:val="0"/>
                <w:numId w:val="0"/>
              </w:numPr>
              <w:snapToGrid w:val="0"/>
              <w:spacing w:line="600" w:lineRule="auto"/>
              <w:jc w:val="center"/>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3</w:t>
            </w:r>
          </w:p>
        </w:tc>
        <w:tc>
          <w:tcPr>
            <w:tcW w:w="1635" w:type="dxa"/>
            <w:vAlign w:val="center"/>
          </w:tcPr>
          <w:p w14:paraId="482BA6C2">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风机、电机拆解清洗保养</w:t>
            </w:r>
          </w:p>
        </w:tc>
        <w:tc>
          <w:tcPr>
            <w:tcW w:w="3854" w:type="dxa"/>
            <w:vAlign w:val="center"/>
          </w:tcPr>
          <w:p w14:paraId="7E972370">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拆解高低噪双风机叶轮、机壳，彻底清除内部积油结块，紧固设备螺丝、保养传动部件；调试后电机运转平稳、静音无抖动、无异响、无过热隐患</w:t>
            </w:r>
          </w:p>
        </w:tc>
        <w:tc>
          <w:tcPr>
            <w:tcW w:w="681" w:type="dxa"/>
            <w:vAlign w:val="center"/>
          </w:tcPr>
          <w:p w14:paraId="6F8D5E68">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项</w:t>
            </w:r>
          </w:p>
        </w:tc>
        <w:tc>
          <w:tcPr>
            <w:tcW w:w="680" w:type="dxa"/>
            <w:vAlign w:val="center"/>
          </w:tcPr>
          <w:p w14:paraId="022D9D5E">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1</w:t>
            </w:r>
          </w:p>
        </w:tc>
        <w:tc>
          <w:tcPr>
            <w:tcW w:w="1385" w:type="dxa"/>
            <w:vAlign w:val="center"/>
          </w:tcPr>
          <w:p w14:paraId="07BFC521">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含风机全套清洗、保养、调试作业</w:t>
            </w:r>
          </w:p>
        </w:tc>
      </w:tr>
      <w:tr w14:paraId="50683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exact"/>
        </w:trPr>
        <w:tc>
          <w:tcPr>
            <w:tcW w:w="717" w:type="dxa"/>
            <w:vAlign w:val="top"/>
          </w:tcPr>
          <w:p w14:paraId="562E4516">
            <w:pPr>
              <w:numPr>
                <w:ilvl w:val="0"/>
                <w:numId w:val="0"/>
              </w:numPr>
              <w:snapToGrid w:val="0"/>
              <w:spacing w:line="600" w:lineRule="auto"/>
              <w:jc w:val="center"/>
              <w:rPr>
                <w:rFonts w:hint="eastAsia"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4</w:t>
            </w:r>
          </w:p>
        </w:tc>
        <w:tc>
          <w:tcPr>
            <w:tcW w:w="1635" w:type="dxa"/>
            <w:vAlign w:val="center"/>
          </w:tcPr>
          <w:p w14:paraId="7F3B89F8">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油烟净化器深度清洗维护</w:t>
            </w:r>
          </w:p>
        </w:tc>
        <w:tc>
          <w:tcPr>
            <w:tcW w:w="3854" w:type="dxa"/>
            <w:vAlign w:val="center"/>
          </w:tcPr>
          <w:p w14:paraId="6BFA829F">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拆解净化器极板、滤网、腔体，彻底清除油污堵塞，恢复设备标准净化工况，保障油烟排放符合行业规范，设备启停、运行功能正常</w:t>
            </w:r>
          </w:p>
        </w:tc>
        <w:tc>
          <w:tcPr>
            <w:tcW w:w="681" w:type="dxa"/>
            <w:vAlign w:val="center"/>
          </w:tcPr>
          <w:p w14:paraId="0A2A5A8B">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项</w:t>
            </w:r>
          </w:p>
        </w:tc>
        <w:tc>
          <w:tcPr>
            <w:tcW w:w="680" w:type="dxa"/>
            <w:vAlign w:val="center"/>
          </w:tcPr>
          <w:p w14:paraId="24828C87">
            <w:pPr>
              <w:keepNext w:val="0"/>
              <w:keepLines w:val="0"/>
              <w:widowControl/>
              <w:suppressLineNumbers w:val="0"/>
              <w:jc w:val="center"/>
              <w:textAlignment w:val="center"/>
              <w:rPr>
                <w:rFonts w:hint="eastAsia" w:ascii="宋体" w:hAnsi="宋体" w:eastAsia="宋体" w:cs="宋体"/>
                <w:color w:val="auto"/>
                <w:sz w:val="18"/>
                <w:szCs w:val="18"/>
                <w:vertAlign w:val="baseline"/>
                <w:lang w:eastAsia="zh-CN"/>
              </w:rPr>
            </w:pPr>
            <w:r>
              <w:rPr>
                <w:rFonts w:hint="eastAsia" w:ascii="宋体" w:hAnsi="宋体" w:eastAsia="宋体" w:cs="宋体"/>
                <w:i w:val="0"/>
                <w:iCs w:val="0"/>
                <w:color w:val="auto"/>
                <w:kern w:val="0"/>
                <w:sz w:val="18"/>
                <w:szCs w:val="18"/>
                <w:u w:val="none"/>
                <w:lang w:val="en-US" w:eastAsia="zh-CN" w:bidi="ar"/>
              </w:rPr>
              <w:t>1</w:t>
            </w:r>
          </w:p>
        </w:tc>
        <w:tc>
          <w:tcPr>
            <w:tcW w:w="1385" w:type="dxa"/>
            <w:vAlign w:val="center"/>
          </w:tcPr>
          <w:p w14:paraId="1A9A7902">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清洗后达标运行，保障油烟治理效果</w:t>
            </w:r>
          </w:p>
        </w:tc>
      </w:tr>
      <w:tr w14:paraId="26084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47" w:hRule="exact"/>
        </w:trPr>
        <w:tc>
          <w:tcPr>
            <w:tcW w:w="717" w:type="dxa"/>
            <w:vAlign w:val="top"/>
          </w:tcPr>
          <w:p w14:paraId="5C7F35B8">
            <w:pPr>
              <w:numPr>
                <w:ilvl w:val="0"/>
                <w:numId w:val="0"/>
              </w:numPr>
              <w:snapToGrid w:val="0"/>
              <w:spacing w:line="600" w:lineRule="auto"/>
              <w:jc w:val="center"/>
              <w:rPr>
                <w:rFonts w:hint="default" w:ascii="宋体" w:hAnsi="宋体" w:eastAsia="宋体" w:cs="宋体"/>
                <w:color w:val="auto"/>
                <w:sz w:val="21"/>
                <w:szCs w:val="21"/>
                <w:vertAlign w:val="baseline"/>
                <w:lang w:val="en-US" w:eastAsia="zh-CN"/>
              </w:rPr>
            </w:pPr>
            <w:r>
              <w:rPr>
                <w:rFonts w:hint="eastAsia" w:ascii="宋体" w:hAnsi="宋体" w:cs="宋体"/>
                <w:color w:val="auto"/>
                <w:sz w:val="21"/>
                <w:szCs w:val="21"/>
                <w:vertAlign w:val="baseline"/>
                <w:lang w:val="en-US" w:eastAsia="zh-CN"/>
              </w:rPr>
              <w:t>5</w:t>
            </w:r>
          </w:p>
        </w:tc>
        <w:tc>
          <w:tcPr>
            <w:tcW w:w="1635" w:type="dxa"/>
            <w:vAlign w:val="center"/>
          </w:tcPr>
          <w:p w14:paraId="460A00DA">
            <w:pPr>
              <w:keepNext w:val="0"/>
              <w:keepLines w:val="0"/>
              <w:widowControl/>
              <w:suppressLineNumbers w:val="0"/>
              <w:jc w:val="left"/>
              <w:textAlignment w:val="center"/>
              <w:rPr>
                <w:rFonts w:hint="default" w:ascii="宋体" w:hAnsi="宋体" w:eastAsia="宋体" w:cs="宋体"/>
                <w:color w:val="auto"/>
                <w:sz w:val="18"/>
                <w:szCs w:val="18"/>
                <w:vertAlign w:val="baseline"/>
                <w:lang w:val="en-US" w:eastAsia="zh-CN"/>
              </w:rPr>
            </w:pPr>
            <w:r>
              <w:rPr>
                <w:rFonts w:hint="eastAsia" w:ascii="宋体" w:hAnsi="宋体" w:eastAsia="宋体" w:cs="宋体"/>
                <w:i w:val="0"/>
                <w:iCs w:val="0"/>
                <w:color w:val="auto"/>
                <w:kern w:val="0"/>
                <w:sz w:val="18"/>
                <w:szCs w:val="18"/>
                <w:u w:val="none"/>
                <w:lang w:val="en-US" w:eastAsia="zh-CN" w:bidi="ar"/>
              </w:rPr>
              <w:t>油烟机区域天花板全域清洗</w:t>
            </w:r>
          </w:p>
        </w:tc>
        <w:tc>
          <w:tcPr>
            <w:tcW w:w="3854" w:type="dxa"/>
            <w:vAlign w:val="center"/>
          </w:tcPr>
          <w:p w14:paraId="2AF60DF3">
            <w:pPr>
              <w:keepNext w:val="0"/>
              <w:keepLines w:val="0"/>
              <w:widowControl/>
              <w:suppressLineNumbers w:val="0"/>
              <w:jc w:val="left"/>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人工铲除吊顶固化厚油垢，精细化清洁吊顶板面、收边缝隙、管线夹缝、灯具周边、烟罩衔接死角，清洗后干燥处理，无渗水、无油污残留、不损伤吊顶及暗藏线路</w:t>
            </w:r>
          </w:p>
        </w:tc>
        <w:tc>
          <w:tcPr>
            <w:tcW w:w="681" w:type="dxa"/>
            <w:vAlign w:val="center"/>
          </w:tcPr>
          <w:p w14:paraId="254FF902">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项</w:t>
            </w:r>
          </w:p>
        </w:tc>
        <w:tc>
          <w:tcPr>
            <w:tcW w:w="680" w:type="dxa"/>
            <w:vAlign w:val="center"/>
          </w:tcPr>
          <w:p w14:paraId="5D094541">
            <w:pPr>
              <w:keepNext w:val="0"/>
              <w:keepLines w:val="0"/>
              <w:widowControl/>
              <w:suppressLineNumbers w:val="0"/>
              <w:jc w:val="center"/>
              <w:textAlignment w:val="center"/>
              <w:rPr>
                <w:rFonts w:hint="eastAsia" w:ascii="宋体" w:hAnsi="宋体" w:cs="宋体"/>
                <w:color w:val="auto"/>
                <w:sz w:val="18"/>
                <w:szCs w:val="18"/>
                <w:vertAlign w:val="baseline"/>
              </w:rPr>
            </w:pPr>
            <w:r>
              <w:rPr>
                <w:rFonts w:hint="eastAsia" w:ascii="宋体" w:hAnsi="宋体" w:eastAsia="宋体" w:cs="宋体"/>
                <w:i w:val="0"/>
                <w:iCs w:val="0"/>
                <w:color w:val="auto"/>
                <w:kern w:val="0"/>
                <w:sz w:val="18"/>
                <w:szCs w:val="18"/>
                <w:u w:val="none"/>
                <w:lang w:val="en-US" w:eastAsia="zh-CN" w:bidi="ar"/>
              </w:rPr>
              <w:t>1</w:t>
            </w:r>
          </w:p>
        </w:tc>
        <w:tc>
          <w:tcPr>
            <w:tcW w:w="1385" w:type="dxa"/>
            <w:vAlign w:val="center"/>
          </w:tcPr>
          <w:p w14:paraId="47B35DA2">
            <w:pPr>
              <w:keepNext w:val="0"/>
              <w:keepLines w:val="0"/>
              <w:widowControl/>
              <w:suppressLineNumbers w:val="0"/>
              <w:jc w:val="left"/>
              <w:textAlignment w:val="center"/>
              <w:rPr>
                <w:rFonts w:hint="default" w:ascii="宋体" w:hAnsi="宋体" w:eastAsia="宋体" w:cs="宋体"/>
                <w:color w:val="auto"/>
                <w:sz w:val="18"/>
                <w:szCs w:val="18"/>
                <w:vertAlign w:val="baseline"/>
                <w:lang w:val="en-US" w:eastAsia="zh-CN"/>
              </w:rPr>
            </w:pPr>
            <w:r>
              <w:rPr>
                <w:rFonts w:hint="eastAsia" w:ascii="宋体" w:hAnsi="宋体" w:eastAsia="宋体" w:cs="宋体"/>
                <w:i w:val="0"/>
                <w:iCs w:val="0"/>
                <w:color w:val="auto"/>
                <w:kern w:val="0"/>
                <w:sz w:val="18"/>
                <w:szCs w:val="18"/>
                <w:u w:val="none"/>
                <w:lang w:val="en-US" w:eastAsia="zh-CN" w:bidi="ar"/>
              </w:rPr>
              <w:t>含高空作业、全域除垢、现场复原养护</w:t>
            </w:r>
          </w:p>
        </w:tc>
      </w:tr>
      <w:tr w14:paraId="2E73E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0" w:hRule="exact"/>
        </w:trPr>
        <w:tc>
          <w:tcPr>
            <w:tcW w:w="717" w:type="dxa"/>
            <w:shd w:val="clear" w:color="auto" w:fill="auto"/>
            <w:vAlign w:val="top"/>
          </w:tcPr>
          <w:p w14:paraId="32930D51">
            <w:pPr>
              <w:numPr>
                <w:ilvl w:val="0"/>
                <w:numId w:val="0"/>
              </w:numPr>
              <w:snapToGrid w:val="0"/>
              <w:spacing w:line="600" w:lineRule="auto"/>
              <w:ind w:left="0" w:leftChars="0" w:firstLine="0" w:firstLineChars="0"/>
              <w:jc w:val="center"/>
              <w:rPr>
                <w:rFonts w:hint="default" w:ascii="宋体" w:hAnsi="宋体" w:eastAsia="宋体" w:cs="宋体"/>
                <w:color w:val="auto"/>
                <w:kern w:val="2"/>
                <w:sz w:val="21"/>
                <w:szCs w:val="21"/>
                <w:vertAlign w:val="baseline"/>
                <w:lang w:val="en-US" w:eastAsia="zh-CN" w:bidi="ar-SA"/>
              </w:rPr>
            </w:pPr>
            <w:r>
              <w:rPr>
                <w:rFonts w:hint="eastAsia" w:ascii="宋体" w:hAnsi="宋体" w:cs="宋体"/>
                <w:color w:val="auto"/>
                <w:kern w:val="2"/>
                <w:sz w:val="21"/>
                <w:szCs w:val="21"/>
                <w:vertAlign w:val="baseline"/>
                <w:lang w:val="en-US" w:eastAsia="zh-CN" w:bidi="ar-SA"/>
              </w:rPr>
              <w:t>6</w:t>
            </w:r>
          </w:p>
        </w:tc>
        <w:tc>
          <w:tcPr>
            <w:tcW w:w="1635" w:type="dxa"/>
            <w:shd w:val="clear" w:color="auto" w:fill="auto"/>
            <w:vAlign w:val="center"/>
          </w:tcPr>
          <w:p w14:paraId="0F2733EA">
            <w:pPr>
              <w:keepNext w:val="0"/>
              <w:keepLines w:val="0"/>
              <w:widowControl/>
              <w:suppressLineNumbers w:val="0"/>
              <w:jc w:val="left"/>
              <w:textAlignment w:val="center"/>
              <w:rPr>
                <w:rFonts w:hint="eastAsia" w:ascii="宋体" w:hAnsi="宋体" w:cs="宋体"/>
                <w:color w:val="auto"/>
                <w:sz w:val="18"/>
                <w:szCs w:val="18"/>
                <w:vertAlign w:val="baseline"/>
                <w:lang w:val="en-US" w:eastAsia="zh-CN"/>
              </w:rPr>
            </w:pPr>
            <w:r>
              <w:rPr>
                <w:rFonts w:hint="eastAsia" w:ascii="宋体" w:hAnsi="宋体" w:eastAsia="宋体" w:cs="宋体"/>
                <w:i w:val="0"/>
                <w:iCs w:val="0"/>
                <w:color w:val="auto"/>
                <w:kern w:val="0"/>
                <w:sz w:val="18"/>
                <w:szCs w:val="18"/>
                <w:u w:val="none"/>
                <w:lang w:val="en-US" w:eastAsia="zh-CN" w:bidi="ar"/>
              </w:rPr>
              <w:t>灶台、锅圈深度清洗</w:t>
            </w:r>
          </w:p>
        </w:tc>
        <w:tc>
          <w:tcPr>
            <w:tcW w:w="3854" w:type="dxa"/>
            <w:shd w:val="clear" w:color="auto" w:fill="auto"/>
            <w:vAlign w:val="center"/>
          </w:tcPr>
          <w:p w14:paraId="16BF2D80">
            <w:pPr>
              <w:keepNext w:val="0"/>
              <w:keepLines w:val="0"/>
              <w:widowControl/>
              <w:suppressLineNumbers w:val="0"/>
              <w:jc w:val="left"/>
              <w:textAlignment w:val="center"/>
              <w:rPr>
                <w:rFonts w:hint="eastAsia" w:ascii="宋体" w:hAnsi="宋体" w:cs="宋体"/>
                <w:color w:val="auto"/>
                <w:sz w:val="18"/>
                <w:szCs w:val="18"/>
                <w:vertAlign w:val="baseline"/>
                <w:lang w:val="en-US" w:eastAsia="zh-CN"/>
              </w:rPr>
            </w:pPr>
            <w:r>
              <w:rPr>
                <w:rFonts w:hint="eastAsia" w:ascii="宋体" w:hAnsi="宋体" w:eastAsia="宋体" w:cs="宋体"/>
                <w:i w:val="0"/>
                <w:iCs w:val="0"/>
                <w:color w:val="auto"/>
                <w:kern w:val="0"/>
                <w:sz w:val="18"/>
                <w:szCs w:val="18"/>
                <w:u w:val="none"/>
                <w:lang w:val="en-US" w:eastAsia="zh-CN" w:bidi="ar"/>
              </w:rPr>
              <w:t>对燃气灶台台面、边角接缝、锅圈内嵌缝隙开展人工精细化除垢，彻底清除碳化污渍、顽固积油，台面光亮洁净、缝隙通透无堵塞，无材质损伤</w:t>
            </w:r>
          </w:p>
        </w:tc>
        <w:tc>
          <w:tcPr>
            <w:tcW w:w="681" w:type="dxa"/>
            <w:shd w:val="clear" w:color="auto" w:fill="auto"/>
            <w:vAlign w:val="center"/>
          </w:tcPr>
          <w:p w14:paraId="2F497BD7">
            <w:pPr>
              <w:keepNext w:val="0"/>
              <w:keepLines w:val="0"/>
              <w:widowControl/>
              <w:suppressLineNumbers w:val="0"/>
              <w:jc w:val="center"/>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项</w:t>
            </w:r>
          </w:p>
        </w:tc>
        <w:tc>
          <w:tcPr>
            <w:tcW w:w="680" w:type="dxa"/>
            <w:shd w:val="clear" w:color="auto" w:fill="auto"/>
            <w:vAlign w:val="center"/>
          </w:tcPr>
          <w:p w14:paraId="3CD59F1A">
            <w:pPr>
              <w:keepNext w:val="0"/>
              <w:keepLines w:val="0"/>
              <w:widowControl/>
              <w:suppressLineNumbers w:val="0"/>
              <w:jc w:val="center"/>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1</w:t>
            </w:r>
          </w:p>
        </w:tc>
        <w:tc>
          <w:tcPr>
            <w:tcW w:w="1385" w:type="dxa"/>
            <w:shd w:val="clear" w:color="auto" w:fill="auto"/>
            <w:vAlign w:val="center"/>
          </w:tcPr>
          <w:p w14:paraId="6FFD1F83">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适配多规格灶台设备，精细清洁无残留</w:t>
            </w:r>
          </w:p>
        </w:tc>
      </w:tr>
      <w:tr w14:paraId="7EA88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8" w:hRule="exact"/>
        </w:trPr>
        <w:tc>
          <w:tcPr>
            <w:tcW w:w="717" w:type="dxa"/>
            <w:shd w:val="clear" w:color="auto" w:fill="auto"/>
            <w:vAlign w:val="top"/>
          </w:tcPr>
          <w:p w14:paraId="26B8C3AB">
            <w:pPr>
              <w:numPr>
                <w:ilvl w:val="0"/>
                <w:numId w:val="0"/>
              </w:numPr>
              <w:snapToGrid w:val="0"/>
              <w:spacing w:line="600" w:lineRule="auto"/>
              <w:ind w:left="0" w:leftChars="0" w:firstLine="0" w:firstLineChars="0"/>
              <w:jc w:val="center"/>
              <w:rPr>
                <w:rFonts w:hint="default" w:ascii="宋体" w:hAnsi="宋体" w:cs="宋体"/>
                <w:color w:val="auto"/>
                <w:kern w:val="2"/>
                <w:sz w:val="21"/>
                <w:szCs w:val="21"/>
                <w:vertAlign w:val="baseline"/>
                <w:lang w:val="en-US" w:eastAsia="zh-CN" w:bidi="ar-SA"/>
              </w:rPr>
            </w:pPr>
            <w:r>
              <w:rPr>
                <w:rFonts w:hint="eastAsia" w:ascii="宋体" w:hAnsi="宋体" w:cs="宋体"/>
                <w:color w:val="auto"/>
                <w:kern w:val="2"/>
                <w:sz w:val="21"/>
                <w:szCs w:val="21"/>
                <w:vertAlign w:val="baseline"/>
                <w:lang w:val="en-US" w:eastAsia="zh-CN" w:bidi="ar-SA"/>
              </w:rPr>
              <w:t>7</w:t>
            </w:r>
          </w:p>
        </w:tc>
        <w:tc>
          <w:tcPr>
            <w:tcW w:w="1635" w:type="dxa"/>
            <w:shd w:val="clear" w:color="auto" w:fill="auto"/>
            <w:vAlign w:val="center"/>
          </w:tcPr>
          <w:p w14:paraId="15F44249">
            <w:pPr>
              <w:keepNext w:val="0"/>
              <w:keepLines w:val="0"/>
              <w:widowControl/>
              <w:suppressLineNumbers w:val="0"/>
              <w:jc w:val="left"/>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灶底地面全域清洗</w:t>
            </w:r>
          </w:p>
        </w:tc>
        <w:tc>
          <w:tcPr>
            <w:tcW w:w="3854" w:type="dxa"/>
            <w:shd w:val="clear" w:color="auto" w:fill="auto"/>
            <w:vAlign w:val="center"/>
          </w:tcPr>
          <w:p w14:paraId="7EB6481C">
            <w:pPr>
              <w:keepNext w:val="0"/>
              <w:keepLines w:val="0"/>
              <w:widowControl/>
              <w:suppressLineNumbers w:val="0"/>
              <w:jc w:val="left"/>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彻底铲除灶底地面、设备底部、排水边角固化油泥、结块油污，冲洗擦拭干燥，地面无油腻、无积油、无污渍、无积水，原貌完好无损</w:t>
            </w:r>
          </w:p>
        </w:tc>
        <w:tc>
          <w:tcPr>
            <w:tcW w:w="681" w:type="dxa"/>
            <w:shd w:val="clear" w:color="auto" w:fill="auto"/>
            <w:vAlign w:val="center"/>
          </w:tcPr>
          <w:p w14:paraId="6AF24D16">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项</w:t>
            </w:r>
          </w:p>
        </w:tc>
        <w:tc>
          <w:tcPr>
            <w:tcW w:w="680" w:type="dxa"/>
            <w:shd w:val="clear" w:color="auto" w:fill="auto"/>
            <w:vAlign w:val="center"/>
          </w:tcPr>
          <w:p w14:paraId="42FB7243">
            <w:pPr>
              <w:keepNext w:val="0"/>
              <w:keepLines w:val="0"/>
              <w:widowControl/>
              <w:suppressLineNumbers w:val="0"/>
              <w:jc w:val="center"/>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1</w:t>
            </w:r>
          </w:p>
        </w:tc>
        <w:tc>
          <w:tcPr>
            <w:tcW w:w="1385" w:type="dxa"/>
            <w:shd w:val="clear" w:color="auto" w:fill="auto"/>
            <w:vAlign w:val="center"/>
          </w:tcPr>
          <w:p w14:paraId="3E06B55B">
            <w:pPr>
              <w:keepNext w:val="0"/>
              <w:keepLines w:val="0"/>
              <w:widowControl/>
              <w:suppressLineNumbers w:val="0"/>
              <w:jc w:val="left"/>
              <w:textAlignment w:val="center"/>
              <w:rPr>
                <w:rFonts w:hint="eastAsia" w:ascii="宋体" w:hAnsi="宋体" w:cs="宋体"/>
                <w:color w:val="auto"/>
                <w:sz w:val="18"/>
                <w:szCs w:val="18"/>
              </w:rPr>
            </w:pPr>
            <w:r>
              <w:rPr>
                <w:rFonts w:hint="eastAsia" w:ascii="宋体" w:hAnsi="宋体" w:eastAsia="宋体" w:cs="宋体"/>
                <w:i w:val="0"/>
                <w:iCs w:val="0"/>
                <w:color w:val="auto"/>
                <w:kern w:val="0"/>
                <w:sz w:val="18"/>
                <w:szCs w:val="18"/>
                <w:u w:val="none"/>
                <w:lang w:val="en-US" w:eastAsia="zh-CN" w:bidi="ar"/>
              </w:rPr>
              <w:t>含隐蔽死角清理、油污垃圾清运、地面干燥处理</w:t>
            </w:r>
          </w:p>
        </w:tc>
      </w:tr>
      <w:tr w14:paraId="3BF44D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6" w:hRule="exact"/>
        </w:trPr>
        <w:tc>
          <w:tcPr>
            <w:tcW w:w="717" w:type="dxa"/>
            <w:shd w:val="clear" w:color="auto" w:fill="auto"/>
            <w:vAlign w:val="top"/>
          </w:tcPr>
          <w:p w14:paraId="3964D47D">
            <w:pPr>
              <w:numPr>
                <w:ilvl w:val="0"/>
                <w:numId w:val="0"/>
              </w:numPr>
              <w:snapToGrid w:val="0"/>
              <w:spacing w:line="600" w:lineRule="auto"/>
              <w:ind w:left="0" w:leftChars="0" w:firstLine="0" w:firstLineChars="0"/>
              <w:jc w:val="center"/>
              <w:rPr>
                <w:rFonts w:hint="eastAsia" w:ascii="宋体" w:hAnsi="宋体" w:eastAsia="宋体" w:cs="宋体"/>
                <w:color w:val="auto"/>
                <w:kern w:val="2"/>
                <w:sz w:val="21"/>
                <w:szCs w:val="21"/>
                <w:vertAlign w:val="baseline"/>
                <w:lang w:val="en-US" w:eastAsia="zh-CN" w:bidi="ar-SA"/>
              </w:rPr>
            </w:pPr>
            <w:r>
              <w:rPr>
                <w:rFonts w:hint="eastAsia" w:ascii="宋体" w:hAnsi="宋体" w:cs="宋体"/>
                <w:color w:val="auto"/>
                <w:kern w:val="2"/>
                <w:sz w:val="21"/>
                <w:szCs w:val="21"/>
                <w:vertAlign w:val="baseline"/>
                <w:lang w:val="en-US" w:eastAsia="zh-CN" w:bidi="ar-SA"/>
              </w:rPr>
              <w:t>8</w:t>
            </w:r>
          </w:p>
        </w:tc>
        <w:tc>
          <w:tcPr>
            <w:tcW w:w="1635" w:type="dxa"/>
            <w:shd w:val="clear" w:color="auto" w:fill="auto"/>
            <w:vAlign w:val="center"/>
          </w:tcPr>
          <w:p w14:paraId="102423E2">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现场防护及完工清洁</w:t>
            </w:r>
          </w:p>
        </w:tc>
        <w:tc>
          <w:tcPr>
            <w:tcW w:w="3854" w:type="dxa"/>
            <w:shd w:val="clear" w:color="auto" w:fill="auto"/>
            <w:vAlign w:val="center"/>
          </w:tcPr>
          <w:p w14:paraId="401A8154">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施工全程全覆盖密闭防护后厨所有设施设备，杜绝污水、油污二次污染；完工后全面清理施工垃圾、废弃油污，场地彻底清洁、原样复位</w:t>
            </w:r>
          </w:p>
        </w:tc>
        <w:tc>
          <w:tcPr>
            <w:tcW w:w="681" w:type="dxa"/>
            <w:shd w:val="clear" w:color="auto" w:fill="auto"/>
            <w:vAlign w:val="center"/>
          </w:tcPr>
          <w:p w14:paraId="0D83F922">
            <w:pPr>
              <w:keepNext w:val="0"/>
              <w:keepLines w:val="0"/>
              <w:widowControl/>
              <w:suppressLineNumbers w:val="0"/>
              <w:jc w:val="center"/>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项</w:t>
            </w:r>
          </w:p>
        </w:tc>
        <w:tc>
          <w:tcPr>
            <w:tcW w:w="680" w:type="dxa"/>
            <w:shd w:val="clear" w:color="auto" w:fill="auto"/>
            <w:vAlign w:val="center"/>
          </w:tcPr>
          <w:p w14:paraId="7D710998">
            <w:pPr>
              <w:keepNext w:val="0"/>
              <w:keepLines w:val="0"/>
              <w:widowControl/>
              <w:suppressLineNumbers w:val="0"/>
              <w:jc w:val="center"/>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1</w:t>
            </w:r>
          </w:p>
        </w:tc>
        <w:tc>
          <w:tcPr>
            <w:tcW w:w="1385" w:type="dxa"/>
            <w:shd w:val="clear" w:color="auto" w:fill="auto"/>
            <w:vAlign w:val="center"/>
          </w:tcPr>
          <w:p w14:paraId="75405218">
            <w:pPr>
              <w:keepNext w:val="0"/>
              <w:keepLines w:val="0"/>
              <w:widowControl/>
              <w:suppressLineNumbers w:val="0"/>
              <w:jc w:val="left"/>
              <w:textAlignment w:val="center"/>
              <w:rPr>
                <w:rFonts w:hint="eastAsia" w:ascii="宋体" w:hAnsi="宋体" w:eastAsia="宋体" w:cs="宋体"/>
                <w:color w:val="auto"/>
                <w:kern w:val="2"/>
                <w:sz w:val="18"/>
                <w:szCs w:val="18"/>
                <w:vertAlign w:val="baseline"/>
                <w:lang w:val="en-US" w:eastAsia="zh-CN" w:bidi="ar-SA"/>
              </w:rPr>
            </w:pPr>
            <w:r>
              <w:rPr>
                <w:rFonts w:hint="eastAsia" w:ascii="宋体" w:hAnsi="宋体" w:eastAsia="宋体" w:cs="宋体"/>
                <w:i w:val="0"/>
                <w:iCs w:val="0"/>
                <w:color w:val="auto"/>
                <w:kern w:val="0"/>
                <w:sz w:val="18"/>
                <w:szCs w:val="18"/>
                <w:u w:val="none"/>
                <w:lang w:val="en-US" w:eastAsia="zh-CN" w:bidi="ar"/>
              </w:rPr>
              <w:t>全包服务，无任何额外新增费用</w:t>
            </w:r>
          </w:p>
        </w:tc>
      </w:tr>
    </w:tbl>
    <w:p w14:paraId="0D8070B8">
      <w:pPr>
        <w:tabs>
          <w:tab w:val="left" w:pos="6300"/>
        </w:tabs>
        <w:snapToGrid w:val="0"/>
        <w:spacing w:line="360" w:lineRule="auto"/>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注：本次报价包含人工、耗材、工具、运输、调试、清洁、质保、税费等全部费用，所</w:t>
      </w:r>
      <w:r>
        <w:rPr>
          <w:rFonts w:hint="eastAsia" w:ascii="宋体" w:hAnsi="宋体" w:eastAsia="宋体" w:cs="宋体"/>
          <w:color w:val="auto"/>
          <w:sz w:val="24"/>
          <w:szCs w:val="24"/>
        </w:rPr>
        <w:t>有服务按现场实际情况全覆盖完成。</w:t>
      </w:r>
    </w:p>
    <w:p w14:paraId="08B63DF9">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四、供应商资格要求</w:t>
      </w:r>
    </w:p>
    <w:p w14:paraId="705F3C17">
      <w:pPr>
        <w:tabs>
          <w:tab w:val="left" w:pos="6300"/>
        </w:tabs>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1.具有独立承担民事责任能力；</w:t>
      </w:r>
    </w:p>
    <w:p w14:paraId="65C6E80D">
      <w:pPr>
        <w:tabs>
          <w:tab w:val="left" w:pos="6300"/>
        </w:tabs>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2.具有良好商业信誉；</w:t>
      </w:r>
    </w:p>
    <w:p w14:paraId="7C59159B">
      <w:pPr>
        <w:tabs>
          <w:tab w:val="left" w:pos="6300"/>
        </w:tabs>
        <w:snapToGrid w:val="0"/>
        <w:spacing w:line="360" w:lineRule="auto"/>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rPr>
        <w:t>3.具有履行合同所必需的清洗设备、专业工具和油烟清洗专项技术能力；</w:t>
      </w:r>
    </w:p>
    <w:p w14:paraId="32F46C4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4.有依法缴纳税收和社会保障资金的良好记录；</w:t>
      </w:r>
    </w:p>
    <w:p w14:paraId="63DC866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5.参与政府采购活动前三年，在经营过程中无重大违法违规记录；</w:t>
      </w:r>
    </w:p>
    <w:p w14:paraId="3429B06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6.法律、行政法规规定的其它条件。</w:t>
      </w:r>
    </w:p>
    <w:p w14:paraId="2F87018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7.特定资格条件：无</w:t>
      </w:r>
    </w:p>
    <w:p w14:paraId="7465EBCC">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五、采购服务约定</w:t>
      </w:r>
    </w:p>
    <w:p w14:paraId="00C6C49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1.施工周期</w:t>
      </w:r>
    </w:p>
    <w:p w14:paraId="4043BF29">
      <w:pPr>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本项目服务合同服务周期为两年，固定服务频次为每季度清洗1次，合同期内累计完成清洗服务共8次</w:t>
      </w:r>
      <w:r>
        <w:rPr>
          <w:rFonts w:hint="eastAsia" w:ascii="宋体" w:hAnsi="宋体" w:cs="宋体"/>
          <w:color w:val="auto"/>
          <w:sz w:val="24"/>
          <w:szCs w:val="24"/>
          <w:lang w:eastAsia="zh-CN"/>
        </w:rPr>
        <w:t>。</w:t>
      </w:r>
    </w:p>
    <w:p w14:paraId="6EBDFC49">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2.服务地点</w:t>
      </w:r>
    </w:p>
    <w:p w14:paraId="64644A9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重庆市文物考古研究院院内指定食堂后厨区域。</w:t>
      </w:r>
    </w:p>
    <w:p w14:paraId="31E4B56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3.验收方式</w:t>
      </w:r>
    </w:p>
    <w:p w14:paraId="3A6645F8">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单次服务结束后，</w:t>
      </w:r>
      <w:r>
        <w:rPr>
          <w:rFonts w:hint="eastAsia" w:ascii="宋体" w:hAnsi="宋体" w:cs="宋体"/>
          <w:color w:val="auto"/>
          <w:sz w:val="24"/>
          <w:szCs w:val="24"/>
        </w:rPr>
        <w:t>由我院后勤管理部门组织现场验收，对照清洗技术标准逐项核查设备清洁度、运行状态、现场卫生，验收合格后出具正式验收意见，不合格须无条件返工直至达标。</w:t>
      </w:r>
    </w:p>
    <w:p w14:paraId="25FEFA4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项目共计8次季度清洗服务，每一次清洗服务全部完工后，供应商须主动配合采购人开展专项验收，统一填写《厨房油烟机系统清洗服务验收单》。验收单须详细记录本次清洗服务内容、施工标准、设备运行状态、安全隐患排查结果，同时附本次服务清洗前、清洗后现场实景对比照片，所有验收资料经采购人现场工作人员逐项核查、确认合格并签字留存后，视为当次服务验收完成，未完成签字验收的不予确认服务成果。</w:t>
      </w:r>
    </w:p>
    <w:p w14:paraId="54DD28C5">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六、报价要求及成交原则</w:t>
      </w:r>
    </w:p>
    <w:p w14:paraId="171D3AE2">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1.报价要求：</w:t>
      </w:r>
    </w:p>
    <w:p w14:paraId="4B98562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本次报价须为人民币</w:t>
      </w:r>
      <w:r>
        <w:rPr>
          <w:rFonts w:hint="eastAsia" w:ascii="宋体" w:hAnsi="宋体" w:cs="宋体"/>
          <w:color w:val="auto"/>
          <w:sz w:val="24"/>
          <w:szCs w:val="24"/>
          <w:lang w:val="en-US" w:eastAsia="zh-CN"/>
        </w:rPr>
        <w:t>固定总价</w:t>
      </w:r>
      <w:r>
        <w:rPr>
          <w:rFonts w:hint="eastAsia" w:ascii="宋体" w:hAnsi="宋体" w:cs="宋体"/>
          <w:color w:val="auto"/>
          <w:sz w:val="24"/>
          <w:szCs w:val="24"/>
        </w:rPr>
        <w:t>包干报价，包含人工服务费、专用清洗耗材、设备工具、交通运输、现场防护、垃圾清运、设备调试、质保服务、安全措施、税费、运杂费、验收、不可预见费等所有全部费用。因成交供应商自身原因造成漏报、少报皆由其自行承担责任，我院不再补偿任何费用。</w:t>
      </w:r>
    </w:p>
    <w:p w14:paraId="0510D2D9">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2.成交原则</w:t>
      </w:r>
    </w:p>
    <w:p w14:paraId="77DFF2A4">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在完全符合本次采购技术要求、质量标准、服务承诺的前提下，按最低价法确定成交供应商。</w:t>
      </w:r>
    </w:p>
    <w:p w14:paraId="7270EDBD">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七、提交报价文件的份数和签署</w:t>
      </w:r>
    </w:p>
    <w:p w14:paraId="22FD6985">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1.报价文件一式一份。</w:t>
      </w:r>
    </w:p>
    <w:p w14:paraId="79A8712B">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2.在报价文件中规定签署、盖章的地方必须按其规定签署、盖章。否则视为无效报价。</w:t>
      </w:r>
    </w:p>
    <w:p w14:paraId="5C581A63">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八、付款方式</w:t>
      </w:r>
    </w:p>
    <w:p w14:paraId="493844B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成交供应商完成</w:t>
      </w:r>
      <w:r>
        <w:rPr>
          <w:rFonts w:hint="eastAsia" w:ascii="宋体" w:hAnsi="宋体" w:cs="宋体"/>
          <w:color w:val="auto"/>
          <w:sz w:val="24"/>
          <w:szCs w:val="24"/>
          <w:lang w:val="en-US" w:eastAsia="zh-CN"/>
        </w:rPr>
        <w:t>一次</w:t>
      </w:r>
      <w:r>
        <w:rPr>
          <w:rFonts w:hint="eastAsia" w:ascii="宋体" w:hAnsi="宋体" w:cs="宋体"/>
          <w:color w:val="auto"/>
          <w:sz w:val="24"/>
          <w:szCs w:val="24"/>
        </w:rPr>
        <w:t>清洗服务工作</w:t>
      </w:r>
      <w:r>
        <w:rPr>
          <w:rFonts w:hint="eastAsia" w:ascii="宋体" w:hAnsi="宋体" w:cs="宋体"/>
          <w:color w:val="auto"/>
          <w:sz w:val="24"/>
          <w:szCs w:val="24"/>
          <w:lang w:val="en-US" w:eastAsia="zh-CN"/>
        </w:rPr>
        <w:t>后，</w:t>
      </w:r>
      <w:r>
        <w:rPr>
          <w:rFonts w:hint="eastAsia" w:ascii="宋体" w:hAnsi="宋体" w:cs="宋体"/>
          <w:color w:val="auto"/>
          <w:sz w:val="24"/>
          <w:szCs w:val="24"/>
        </w:rPr>
        <w:t>经我院现场验收合格，</w:t>
      </w:r>
      <w:r>
        <w:rPr>
          <w:rFonts w:hint="eastAsia" w:ascii="宋体" w:hAnsi="宋体" w:cs="宋体"/>
          <w:color w:val="auto"/>
          <w:sz w:val="24"/>
          <w:szCs w:val="24"/>
          <w:lang w:val="en-US" w:eastAsia="zh-CN"/>
        </w:rPr>
        <w:t>我院</w:t>
      </w:r>
      <w:r>
        <w:rPr>
          <w:rFonts w:hint="eastAsia" w:ascii="宋体" w:hAnsi="宋体" w:cs="宋体"/>
          <w:color w:val="auto"/>
          <w:sz w:val="24"/>
          <w:szCs w:val="24"/>
        </w:rPr>
        <w:t>以对公转账的方式向成交供应商支付合同总金额的</w:t>
      </w:r>
      <w:r>
        <w:rPr>
          <w:rFonts w:hint="eastAsia" w:ascii="宋体" w:hAnsi="宋体" w:cs="宋体"/>
          <w:color w:val="auto"/>
          <w:sz w:val="24"/>
          <w:szCs w:val="24"/>
          <w:lang w:val="en-US" w:eastAsia="zh-CN"/>
        </w:rPr>
        <w:t>12.5</w:t>
      </w:r>
      <w:r>
        <w:rPr>
          <w:rFonts w:hint="eastAsia" w:ascii="宋体" w:hAnsi="宋体" w:cs="宋体"/>
          <w:color w:val="auto"/>
          <w:sz w:val="24"/>
          <w:szCs w:val="24"/>
        </w:rPr>
        <w:t>%。</w:t>
      </w:r>
    </w:p>
    <w:p w14:paraId="512D7124">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成交供应商应在我院支付经费之前提供合法有效的全额票据，且严格按照我院要求和格式提交全套结算资料，否则我院有权顺延或拒绝支付相关费用。</w:t>
      </w:r>
    </w:p>
    <w:p w14:paraId="2CE9C6C1">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九、报价要求</w:t>
      </w:r>
    </w:p>
    <w:p w14:paraId="1300766D">
      <w:pPr>
        <w:snapToGrid w:val="0"/>
        <w:spacing w:line="360" w:lineRule="auto"/>
        <w:ind w:firstLine="482" w:firstLineChars="200"/>
        <w:rPr>
          <w:rFonts w:hint="eastAsia" w:ascii="宋体" w:hAnsi="宋体" w:cs="宋体"/>
          <w:color w:val="auto"/>
          <w:sz w:val="24"/>
          <w:szCs w:val="24"/>
        </w:rPr>
      </w:pPr>
      <w:r>
        <w:rPr>
          <w:rFonts w:hint="eastAsia" w:ascii="宋体" w:hAnsi="宋体" w:cs="宋体"/>
          <w:b/>
          <w:bCs/>
          <w:color w:val="auto"/>
          <w:sz w:val="24"/>
          <w:szCs w:val="24"/>
        </w:rPr>
        <w:t>报价文件密封后（在密封袋上注明项目名称）</w:t>
      </w:r>
      <w:r>
        <w:rPr>
          <w:rFonts w:hint="eastAsia" w:ascii="宋体" w:hAnsi="宋体" w:cs="宋体"/>
          <w:color w:val="auto"/>
          <w:sz w:val="24"/>
          <w:szCs w:val="24"/>
        </w:rPr>
        <w:t>请于2026年</w:t>
      </w:r>
      <w:r>
        <w:rPr>
          <w:rFonts w:hint="eastAsia" w:ascii="宋体" w:hAnsi="宋体" w:cs="宋体"/>
          <w:color w:val="auto"/>
          <w:sz w:val="24"/>
          <w:szCs w:val="24"/>
          <w:lang w:val="en-US" w:eastAsia="zh-CN"/>
        </w:rPr>
        <w:t>7</w:t>
      </w:r>
      <w:r>
        <w:rPr>
          <w:rFonts w:hint="eastAsia" w:ascii="宋体" w:hAnsi="宋体" w:cs="宋体"/>
          <w:color w:val="auto"/>
          <w:sz w:val="24"/>
          <w:szCs w:val="24"/>
        </w:rPr>
        <w:t>月</w:t>
      </w:r>
      <w:r>
        <w:rPr>
          <w:rFonts w:hint="eastAsia" w:ascii="宋体" w:hAnsi="宋体" w:cs="宋体"/>
          <w:color w:val="auto"/>
          <w:sz w:val="24"/>
          <w:szCs w:val="24"/>
          <w:lang w:val="en-US" w:eastAsia="zh-CN"/>
        </w:rPr>
        <w:t>6</w:t>
      </w:r>
      <w:r>
        <w:rPr>
          <w:rFonts w:hint="eastAsia" w:ascii="宋体" w:hAnsi="宋体" w:cs="宋体"/>
          <w:color w:val="auto"/>
          <w:sz w:val="24"/>
          <w:szCs w:val="24"/>
        </w:rPr>
        <w:t>日上午12：00时前以快递送达方式递交，凡超出上述时限送达的报价文件均拒绝接受，并视为贵单位自动放弃参与本项目报价。报价统一采用本询价文件</w:t>
      </w:r>
      <w:bookmarkStart w:id="0" w:name="_GoBack"/>
      <w:bookmarkEnd w:id="0"/>
      <w:r>
        <w:rPr>
          <w:rFonts w:hint="eastAsia" w:ascii="宋体" w:hAnsi="宋体" w:cs="宋体"/>
          <w:color w:val="auto"/>
          <w:sz w:val="24"/>
          <w:szCs w:val="24"/>
        </w:rPr>
        <w:t>配套报价函、明细报价表、营业执照，资料须签字盖章齐全，否则视为无效报价。</w:t>
      </w:r>
    </w:p>
    <w:p w14:paraId="03B3ABE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参与本项目询价的供应商不足3家的，则本项目重新开展询价。</w:t>
      </w:r>
    </w:p>
    <w:p w14:paraId="0E2C742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联系人：李老师</w:t>
      </w:r>
    </w:p>
    <w:p w14:paraId="7471949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联系电话：023-63524124</w:t>
      </w:r>
    </w:p>
    <w:p w14:paraId="27ADC22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邮寄地址：重庆市渝中区枇杷山正街72号重庆市文物考古研究院</w:t>
      </w:r>
    </w:p>
    <w:p w14:paraId="7DF0879C">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我将按照招投标规范模板，结合你食堂油烟机清洗服务项目，修正原文语病、统一条款逻辑、规范格式，整理出可直接嵌入询价公告的现场踏勘正式条款。</w:t>
      </w:r>
    </w:p>
    <w:p w14:paraId="3687B5A5">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十、现场踏勘</w:t>
      </w:r>
    </w:p>
    <w:p w14:paraId="22E68A99">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为便于潜在供应商充分了解项目实际情况、项目范围及现场作业条件，有效提高报价的真实性、准确性和合理性，潜在供应商可自行指派专业工作人员前往项目现场开展踏勘工作。</w:t>
      </w:r>
    </w:p>
    <w:p w14:paraId="2E02A4EE">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1、本次项目不组织统一集中现场踏勘，各潜在供应商可在询价公告有效期内，自行前往项目现场进行实地勘察，熟悉项目作业环境、清洗范围、设备现状及现场配套条件。</w:t>
      </w:r>
    </w:p>
    <w:p w14:paraId="5DE7FEE8">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供应商参与现场踏勘所产生的全部交通、人工、勘察、检测等相关费用，以及踏勘过程中产生的一切安全风险、民事责任、意外事故及人身财产损失，均由供应商自行全额承担。采购人不承担任何踏勘相关费用，亦不对供应商踏勘期间发生的各类安全事故、人身伤害、财产损失承担任何责任及赔偿义务。</w:t>
      </w:r>
    </w:p>
    <w:p w14:paraId="38F04531">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供应商在获取本项目询价文件后，须自行对项目现场位置、作业环境、施工条件、周边场地、配套设施及所有影响服务实施的因素进行全面核查踏勘，确保充分掌握全部项目信息，完整收集编制报价文件、服务方案所需的全部资料。无论供应商是否开展现场踏勘，一经递交报价文件，即视为供应商已全面踏勘、熟知项目所有现场情况、充分预判项目全部作业风险及履约义务，其报价已综合包含现场环境、作业难度、安全施工、场地适配等全部相关因素，后续不得因不了解现场情况为由，提出调价、免责、延期及其他异议。</w:t>
      </w:r>
    </w:p>
    <w:p w14:paraId="217D3172">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踏勘联系方式</w:t>
      </w:r>
    </w:p>
    <w:p w14:paraId="728F6F0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踏勘联系人：李老师</w:t>
      </w:r>
    </w:p>
    <w:p w14:paraId="4735D993">
      <w:pPr>
        <w:snapToGrid w:val="0"/>
        <w:spacing w:line="360" w:lineRule="auto"/>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联系电话：023-6352</w:t>
      </w:r>
      <w:r>
        <w:rPr>
          <w:rFonts w:hint="eastAsia" w:ascii="宋体" w:hAnsi="宋体" w:cs="宋体"/>
          <w:color w:val="auto"/>
          <w:sz w:val="24"/>
          <w:szCs w:val="24"/>
          <w:lang w:val="en-US" w:eastAsia="zh-CN"/>
        </w:rPr>
        <w:t>4124</w:t>
      </w:r>
    </w:p>
    <w:p w14:paraId="68316C6D">
      <w:pPr>
        <w:tabs>
          <w:tab w:val="left" w:pos="6300"/>
        </w:tabs>
        <w:snapToGrid w:val="0"/>
        <w:spacing w:line="360" w:lineRule="auto"/>
        <w:ind w:firstLine="480" w:firstLineChars="200"/>
        <w:rPr>
          <w:rFonts w:hint="eastAsia" w:ascii="方正黑体_GBK" w:hAnsi="方正黑体_GBK" w:eastAsia="方正黑体_GBK" w:cs="方正黑体_GBK"/>
          <w:color w:val="auto"/>
          <w:sz w:val="24"/>
          <w:szCs w:val="24"/>
          <w:lang w:val="en-US" w:eastAsia="zh-CN"/>
        </w:rPr>
      </w:pPr>
      <w:r>
        <w:rPr>
          <w:rFonts w:hint="eastAsia" w:ascii="方正黑体_GBK" w:hAnsi="方正黑体_GBK" w:eastAsia="方正黑体_GBK" w:cs="方正黑体_GBK"/>
          <w:color w:val="auto"/>
          <w:sz w:val="24"/>
          <w:szCs w:val="24"/>
          <w:lang w:val="en-US" w:eastAsia="zh-CN"/>
        </w:rPr>
        <w:t>十一、其他</w:t>
      </w:r>
    </w:p>
    <w:p w14:paraId="3F1D9ACF">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1.供应商向我院递交报价文件，即视为完全接受本询价文件所有条款，并承诺服务成果、施工标准、质保服务完全符合本项目全部要求。</w:t>
      </w:r>
    </w:p>
    <w:p w14:paraId="7350798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2.供应商须自行承诺其提供的响应文件中所有证明材料真实有效，不存在任何弄虚作假情形。</w:t>
      </w:r>
    </w:p>
    <w:p w14:paraId="2225EF0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3.我院在采购合同签订前均有权对供应商提供的报价文件中所有内容进行核实，若发现弄虚作假，立即取消其成交资格，并按相关法律法规报上级主管部门或重庆市财政局监督部门处理，供应商须承担因此造成的相关责任并赔偿我院全部损失。</w:t>
      </w:r>
    </w:p>
    <w:p w14:paraId="3060D07D">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4.在采购合同签订后发现供应商提供的报价文件存在弄虚作假情形，我院有权立即解除合同、不予退还质量保证金，并按相关法律法规报上级主管部门或重庆市财政局监督部门处理，由供应商承担全部违约责任及经济损失。</w:t>
      </w:r>
    </w:p>
    <w:p w14:paraId="33DF793B">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5.凡有意参加询价的供应商，请于公告发布之日起至报名截止时间之前，在重庆市文物考古研究院官网（www.cqkaogu.cn）上下载查看本项目询价文件以及变更公告等询价前公布的所有项目资料，无论供应商下载查看与否，均视为已知晓所有询价实质性要求内容。</w:t>
      </w:r>
    </w:p>
    <w:p w14:paraId="6D6ED54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6.单位负责人为同一人或者存在直接控股、管理关系的不同供应商，不得同时参与此次询价。</w:t>
      </w:r>
    </w:p>
    <w:p w14:paraId="03F92E97">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7.本项目不接受联合体参与评审。</w:t>
      </w:r>
    </w:p>
    <w:p w14:paraId="06FCC16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8.本项目服务不允许分包、转包，一经发现立即终止合同，追究违约责任。</w:t>
      </w:r>
    </w:p>
    <w:p w14:paraId="52FD6100">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9.按照《财政部关于在政府采购活动中查询及使用信用记录有关问题的通知》财库〔2016〕125号，供应商列入失信被执行人、重大税收违法案件当事人名单、政府采购严重违法失信行为记录名单及其他不符合《中华人民共和国政府采购法》第二十二条规定条件的供应商，将拒绝其参与本院询价。</w:t>
      </w:r>
    </w:p>
    <w:p w14:paraId="4C8274CA">
      <w:pPr>
        <w:snapToGrid w:val="0"/>
        <w:spacing w:line="360" w:lineRule="auto"/>
        <w:ind w:firstLine="480" w:firstLineChars="200"/>
        <w:rPr>
          <w:rFonts w:hint="eastAsia" w:ascii="宋体" w:hAnsi="宋体" w:cs="宋体"/>
          <w:color w:val="auto"/>
          <w:sz w:val="24"/>
          <w:szCs w:val="24"/>
        </w:rPr>
      </w:pPr>
      <w:r>
        <w:rPr>
          <w:rFonts w:hint="eastAsia" w:ascii="宋体" w:hAnsi="宋体" w:cs="宋体"/>
          <w:color w:val="auto"/>
          <w:sz w:val="24"/>
          <w:szCs w:val="24"/>
        </w:rPr>
        <w:t>10.本项目未尽事宜由供需双方在正式采购合同中详细约定。</w:t>
      </w:r>
    </w:p>
    <w:p w14:paraId="6A67E07E">
      <w:pPr>
        <w:ind w:firstLine="482" w:firstLineChars="200"/>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11.供应商应严格按照响应文件格式提供相应文件，响应文件或文件内容不符合要求的，将被视为未实质性响应询价文件，其响应将被否决。</w:t>
      </w:r>
    </w:p>
    <w:p w14:paraId="43C6F9CF">
      <w:pPr>
        <w:snapToGrid w:val="0"/>
        <w:spacing w:line="360" w:lineRule="auto"/>
        <w:ind w:firstLine="480" w:firstLineChars="200"/>
        <w:rPr>
          <w:rFonts w:hint="eastAsia" w:ascii="宋体" w:hAnsi="宋体" w:cs="宋体"/>
          <w:color w:val="auto"/>
          <w:sz w:val="24"/>
          <w:szCs w:val="24"/>
        </w:rPr>
      </w:pPr>
    </w:p>
    <w:p w14:paraId="37ECB760">
      <w:pPr>
        <w:rPr>
          <w:rFonts w:hint="eastAsia"/>
          <w:color w:val="auto"/>
        </w:rPr>
      </w:pPr>
      <w:r>
        <w:rPr>
          <w:rFonts w:hint="eastAsia"/>
          <w:color w:val="auto"/>
        </w:rPr>
        <w:br w:type="page"/>
      </w:r>
    </w:p>
    <w:p w14:paraId="61F08B65">
      <w:pPr>
        <w:ind w:firstLine="560" w:firstLineChars="200"/>
        <w:rPr>
          <w:color w:val="auto"/>
        </w:rPr>
      </w:pPr>
      <w:r>
        <w:rPr>
          <w:rFonts w:hint="eastAsia"/>
          <w:color w:val="auto"/>
        </w:rPr>
        <w:t>附件</w:t>
      </w:r>
    </w:p>
    <w:p w14:paraId="317A1607">
      <w:pPr>
        <w:pStyle w:val="3"/>
        <w:ind w:firstLine="643" w:firstLineChars="200"/>
        <w:jc w:val="center"/>
        <w:rPr>
          <w:color w:val="auto"/>
        </w:rPr>
      </w:pPr>
      <w:r>
        <w:rPr>
          <w:rFonts w:hint="eastAsia"/>
          <w:color w:val="auto"/>
        </w:rPr>
        <w:t>报价函</w:t>
      </w:r>
    </w:p>
    <w:p w14:paraId="49A63801">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u w:val="single"/>
        </w:rPr>
        <w:t>（采购人名称）</w:t>
      </w:r>
      <w:r>
        <w:rPr>
          <w:rFonts w:hint="eastAsia" w:ascii="宋体" w:hAnsi="宋体" w:cs="宋体"/>
          <w:color w:val="auto"/>
          <w:sz w:val="24"/>
          <w:szCs w:val="24"/>
        </w:rPr>
        <w:t>：</w:t>
      </w:r>
    </w:p>
    <w:p w14:paraId="4BD26B6E">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我方收到</w:t>
      </w:r>
      <w:r>
        <w:rPr>
          <w:rFonts w:hint="eastAsia" w:ascii="宋体" w:hAnsi="宋体" w:cs="宋体"/>
          <w:color w:val="auto"/>
          <w:sz w:val="24"/>
          <w:szCs w:val="24"/>
          <w:u w:val="single"/>
        </w:rPr>
        <w:t xml:space="preserve">                   </w:t>
      </w:r>
      <w:r>
        <w:rPr>
          <w:rFonts w:hint="eastAsia" w:ascii="宋体" w:hAnsi="宋体" w:cs="宋体"/>
          <w:color w:val="auto"/>
          <w:sz w:val="24"/>
          <w:szCs w:val="24"/>
        </w:rPr>
        <w:t>（询价项目名称）的询价文件，经详细研究，决定参加该询价项目的报价。</w:t>
      </w:r>
    </w:p>
    <w:p w14:paraId="4D132EDF">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1.愿意按照询价文件中的一切要求，提供本项目的服务，最终报价为人民币</w:t>
      </w:r>
      <w:r>
        <w:rPr>
          <w:rFonts w:hint="eastAsia" w:ascii="宋体" w:hAnsi="宋体" w:cs="宋体"/>
          <w:color w:val="auto"/>
          <w:sz w:val="24"/>
          <w:szCs w:val="24"/>
          <w:u w:val="single"/>
        </w:rPr>
        <w:t xml:space="preserve">  ，大写：</w:t>
      </w:r>
      <w:r>
        <w:rPr>
          <w:rFonts w:hint="eastAsia" w:ascii="宋体" w:hAnsi="宋体" w:cs="宋体"/>
          <w:color w:val="auto"/>
          <w:sz w:val="24"/>
          <w:szCs w:val="24"/>
        </w:rPr>
        <w:t>。</w:t>
      </w:r>
    </w:p>
    <w:p w14:paraId="439A14BA">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2.我方完全理解和接受贵方询价文件的一切规定和要求及评审办法。</w:t>
      </w:r>
    </w:p>
    <w:p w14:paraId="181A42BD">
      <w:pPr>
        <w:pStyle w:val="6"/>
        <w:ind w:firstLine="480" w:firstLineChars="200"/>
        <w:rPr>
          <w:rFonts w:eastAsia="宋体"/>
          <w:color w:val="auto"/>
        </w:rPr>
      </w:pPr>
      <w:r>
        <w:rPr>
          <w:rFonts w:hint="eastAsia" w:eastAsia="宋体" w:cs="宋体"/>
          <w:color w:val="auto"/>
          <w:szCs w:val="24"/>
        </w:rPr>
        <w:t>3.我方承诺完全符合本《询价文件》供应商资格要求及其他要求，并</w:t>
      </w:r>
      <w:r>
        <w:rPr>
          <w:rFonts w:hint="eastAsia" w:eastAsia="宋体" w:cs="宋体"/>
          <w:color w:val="auto"/>
        </w:rPr>
        <w:t>对本报价函承诺负全部法律责任。</w:t>
      </w:r>
    </w:p>
    <w:p w14:paraId="7AC575EA">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4.在整个询价过程中，我方若有违规行为，接受按照《中华人民共和国政府采购法》和《询价文件》之规定给予惩罚。</w:t>
      </w:r>
    </w:p>
    <w:p w14:paraId="3AC8DFD6">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5.我方若成为成交供应商，将按照报价结果签订合同，并且严格履行合同义务。本报价函将成为合同不可分割的一部分，与合同具有同等的法律效力。</w:t>
      </w:r>
    </w:p>
    <w:p w14:paraId="6A981513">
      <w:pPr>
        <w:tabs>
          <w:tab w:val="left" w:pos="6300"/>
        </w:tabs>
        <w:snapToGrid w:val="0"/>
        <w:spacing w:line="360" w:lineRule="auto"/>
        <w:ind w:firstLine="240" w:firstLineChars="100"/>
        <w:rPr>
          <w:rFonts w:ascii="宋体" w:hAnsi="宋体" w:cs="宋体"/>
          <w:color w:val="auto"/>
          <w:sz w:val="24"/>
          <w:szCs w:val="24"/>
        </w:rPr>
      </w:pPr>
    </w:p>
    <w:p w14:paraId="6307992E">
      <w:pPr>
        <w:tabs>
          <w:tab w:val="left" w:pos="6300"/>
        </w:tabs>
        <w:snapToGrid w:val="0"/>
        <w:spacing w:line="360" w:lineRule="auto"/>
        <w:ind w:firstLine="570"/>
        <w:rPr>
          <w:rFonts w:ascii="宋体" w:hAnsi="宋体" w:cs="宋体"/>
          <w:color w:val="auto"/>
          <w:sz w:val="24"/>
          <w:szCs w:val="24"/>
        </w:rPr>
      </w:pPr>
    </w:p>
    <w:p w14:paraId="3EA4EDF2">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供应商（公章）签署：</w:t>
      </w:r>
    </w:p>
    <w:p w14:paraId="1FFD816E">
      <w:pPr>
        <w:pStyle w:val="6"/>
        <w:ind w:firstLine="480" w:firstLineChars="200"/>
        <w:rPr>
          <w:rFonts w:eastAsia="宋体"/>
          <w:color w:val="auto"/>
        </w:rPr>
      </w:pPr>
      <w:r>
        <w:rPr>
          <w:rFonts w:hint="eastAsia" w:eastAsia="宋体" w:cs="宋体"/>
          <w:color w:val="auto"/>
          <w:szCs w:val="24"/>
        </w:rPr>
        <w:t>法定代表人（签字）：</w:t>
      </w:r>
    </w:p>
    <w:p w14:paraId="79D01731">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地址：  </w:t>
      </w:r>
    </w:p>
    <w:p w14:paraId="45282225">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电话：                           传真：</w:t>
      </w:r>
    </w:p>
    <w:p w14:paraId="170CD887">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网址：                           邮编：</w:t>
      </w:r>
    </w:p>
    <w:p w14:paraId="4FCFB5F6">
      <w:pPr>
        <w:tabs>
          <w:tab w:val="left" w:pos="6300"/>
        </w:tabs>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联系人：</w:t>
      </w:r>
    </w:p>
    <w:p w14:paraId="18ADE85F">
      <w:pPr>
        <w:snapToGrid w:val="0"/>
        <w:spacing w:line="360" w:lineRule="auto"/>
        <w:ind w:firstLine="480" w:firstLineChars="200"/>
        <w:rPr>
          <w:rFonts w:ascii="宋体" w:hAnsi="宋体" w:cs="宋体"/>
          <w:color w:val="auto"/>
          <w:sz w:val="24"/>
          <w:szCs w:val="24"/>
        </w:rPr>
      </w:pPr>
      <w:r>
        <w:rPr>
          <w:rFonts w:hint="eastAsia" w:ascii="宋体" w:hAnsi="宋体" w:cs="宋体"/>
          <w:color w:val="auto"/>
          <w:sz w:val="24"/>
          <w:szCs w:val="24"/>
        </w:rPr>
        <w:t xml:space="preserve">                                                    年   月   日</w:t>
      </w:r>
    </w:p>
    <w:p w14:paraId="7C671DE9">
      <w:pPr>
        <w:rPr>
          <w:color w:val="auto"/>
        </w:rPr>
      </w:pPr>
    </w:p>
    <w:p w14:paraId="7B5558E8">
      <w:pPr>
        <w:ind w:firstLine="560" w:firstLineChars="200"/>
        <w:rPr>
          <w:color w:val="auto"/>
        </w:rPr>
      </w:pPr>
      <w:r>
        <w:rPr>
          <w:color w:val="auto"/>
        </w:rPr>
        <w:br w:type="page"/>
      </w:r>
    </w:p>
    <w:p w14:paraId="15AB33F7">
      <w:pPr>
        <w:pStyle w:val="3"/>
        <w:ind w:firstLine="643" w:firstLineChars="200"/>
        <w:jc w:val="center"/>
        <w:rPr>
          <w:color w:val="auto"/>
        </w:rPr>
      </w:pPr>
      <w:r>
        <w:rPr>
          <w:rFonts w:hint="eastAsia"/>
          <w:color w:val="auto"/>
        </w:rPr>
        <w:t>营业执照</w:t>
      </w:r>
    </w:p>
    <w:p w14:paraId="67C43CC2">
      <w:pPr>
        <w:pStyle w:val="3"/>
        <w:rPr>
          <w:color w:val="auto"/>
        </w:rPr>
      </w:pPr>
    </w:p>
    <w:p w14:paraId="79AFF91B">
      <w:pPr>
        <w:rPr>
          <w:color w:val="auto"/>
        </w:rPr>
      </w:pPr>
    </w:p>
    <w:p w14:paraId="3A43056E">
      <w:pPr>
        <w:rPr>
          <w:color w:val="auto"/>
        </w:rPr>
      </w:pPr>
    </w:p>
    <w:p w14:paraId="4523DB65">
      <w:pPr>
        <w:rPr>
          <w:color w:val="auto"/>
        </w:rPr>
      </w:pPr>
    </w:p>
    <w:p w14:paraId="23B383E4">
      <w:pPr>
        <w:rPr>
          <w:color w:val="auto"/>
        </w:rPr>
      </w:pPr>
    </w:p>
    <w:p w14:paraId="2D46AEFB">
      <w:pPr>
        <w:rPr>
          <w:color w:val="auto"/>
        </w:rPr>
      </w:pPr>
    </w:p>
    <w:p w14:paraId="7E6B0443">
      <w:pPr>
        <w:rPr>
          <w:color w:val="auto"/>
        </w:rPr>
      </w:pPr>
    </w:p>
    <w:p w14:paraId="60FC655E">
      <w:pPr>
        <w:rPr>
          <w:color w:val="auto"/>
        </w:rPr>
      </w:pPr>
    </w:p>
    <w:p w14:paraId="6A5909C9">
      <w:pPr>
        <w:rPr>
          <w:color w:val="auto"/>
        </w:rPr>
      </w:pPr>
    </w:p>
    <w:p w14:paraId="25F9C97E">
      <w:pPr>
        <w:rPr>
          <w:color w:val="auto"/>
        </w:rPr>
      </w:pPr>
    </w:p>
    <w:p w14:paraId="3A745E15">
      <w:pPr>
        <w:rPr>
          <w:color w:val="auto"/>
        </w:rPr>
      </w:pPr>
    </w:p>
    <w:p w14:paraId="41544E9B">
      <w:pPr>
        <w:rPr>
          <w:color w:val="auto"/>
        </w:rPr>
      </w:pPr>
    </w:p>
    <w:p w14:paraId="3B34A9DD">
      <w:pPr>
        <w:rPr>
          <w:color w:val="auto"/>
        </w:rPr>
      </w:pPr>
    </w:p>
    <w:p w14:paraId="3B788720">
      <w:pPr>
        <w:rPr>
          <w:color w:val="auto"/>
        </w:rPr>
      </w:pPr>
    </w:p>
    <w:p w14:paraId="603C02B4">
      <w:pPr>
        <w:rPr>
          <w:color w:val="auto"/>
        </w:rPr>
      </w:pPr>
    </w:p>
    <w:p w14:paraId="3CA8E752">
      <w:pPr>
        <w:rPr>
          <w:color w:val="auto"/>
        </w:rPr>
      </w:pPr>
    </w:p>
    <w:p w14:paraId="33FFA3E7">
      <w:pPr>
        <w:rPr>
          <w:color w:val="auto"/>
        </w:rPr>
      </w:pPr>
    </w:p>
    <w:p w14:paraId="3CB1B04B">
      <w:pPr>
        <w:rPr>
          <w:color w:val="auto"/>
        </w:rPr>
      </w:pPr>
    </w:p>
    <w:p w14:paraId="010863B3">
      <w:pPr>
        <w:rPr>
          <w:color w:val="auto"/>
        </w:rPr>
      </w:pPr>
    </w:p>
    <w:p w14:paraId="642B6455">
      <w:pPr>
        <w:spacing w:before="156" w:beforeLines="50" w:after="156" w:afterLines="50" w:line="480" w:lineRule="auto"/>
        <w:jc w:val="center"/>
        <w:rPr>
          <w:rFonts w:hint="eastAsia" w:ascii="方正小标宋_GBK" w:hAnsi="宋体" w:eastAsia="方正小标宋_GBK"/>
          <w:color w:val="auto"/>
          <w:sz w:val="44"/>
          <w:szCs w:val="44"/>
          <w:highlight w:val="none"/>
        </w:rPr>
      </w:pPr>
      <w:r>
        <w:rPr>
          <w:rFonts w:hint="eastAsia" w:ascii="方正小标宋_GBK" w:hAnsi="宋体" w:eastAsia="方正小标宋_GBK"/>
          <w:color w:val="auto"/>
          <w:sz w:val="44"/>
          <w:szCs w:val="44"/>
          <w:highlight w:val="none"/>
        </w:rPr>
        <w:t>廉政风险防范承诺</w:t>
      </w:r>
    </w:p>
    <w:p w14:paraId="6A9DF203">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为配合国家有关部门廉政建设的规定，保证采购项目实施高效优质，保证资金的安全和有效使用，我方郑重承诺：</w:t>
      </w:r>
    </w:p>
    <w:p w14:paraId="72D5CE1B">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1、不得向</w:t>
      </w:r>
      <w:r>
        <w:rPr>
          <w:rFonts w:hint="eastAsia" w:ascii="宋体" w:hAnsi="宋体" w:eastAsia="宋体" w:cs="宋体"/>
          <w:color w:val="auto"/>
          <w:sz w:val="24"/>
          <w:szCs w:val="24"/>
          <w:highlight w:val="none"/>
          <w:lang w:val="en-US" w:eastAsia="zh-CN"/>
        </w:rPr>
        <w:t>采购人</w:t>
      </w:r>
      <w:r>
        <w:rPr>
          <w:rFonts w:hint="eastAsia" w:ascii="宋体" w:hAnsi="宋体" w:eastAsia="宋体" w:cs="宋体"/>
          <w:color w:val="auto"/>
          <w:sz w:val="24"/>
          <w:szCs w:val="24"/>
          <w:highlight w:val="none"/>
          <w:lang w:val="zh-CN"/>
        </w:rPr>
        <w:t>员工及其家属、子女、朋友赠送礼金、有价证券和物品；</w:t>
      </w:r>
    </w:p>
    <w:p w14:paraId="4556E5C0">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2、不得擅自与</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员工就某商品、材料、服务、工程项目的供应、建设问题进行私下商谈或者达成默契；</w:t>
      </w:r>
    </w:p>
    <w:p w14:paraId="5D4A5DE7">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3、不得为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员工个人及其家属、子女、朋友购置或提供通讯工具、交通工具、家电、旅游、娱乐活动等等；</w:t>
      </w:r>
    </w:p>
    <w:p w14:paraId="5782C7DC">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4、乙方不得为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员工及其家属、子女、朋友报销任何费用；</w:t>
      </w:r>
    </w:p>
    <w:p w14:paraId="4CCA9B68">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5、乙方不得为</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员工及其家属、子女、朋友提供任何好处或便利，包括介绍工作、介绍项目、提供获利机会及借贷等事宜；</w:t>
      </w:r>
    </w:p>
    <w:p w14:paraId="0620D95A">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6、在整个货物（或服务）交易环节，均应公开透明进行，不得私下商议。所有交易行为均应符合商业通行惯例及法律法规，如</w:t>
      </w:r>
      <w:r>
        <w:rPr>
          <w:rFonts w:hint="eastAsia" w:ascii="宋体" w:hAnsi="宋体" w:eastAsia="宋体" w:cs="宋体"/>
          <w:color w:val="auto"/>
          <w:sz w:val="24"/>
          <w:szCs w:val="24"/>
          <w:highlight w:val="none"/>
          <w:lang w:val="zh-CN" w:eastAsia="zh-CN"/>
        </w:rPr>
        <w:t>采购人</w:t>
      </w:r>
      <w:r>
        <w:rPr>
          <w:rFonts w:hint="eastAsia" w:ascii="宋体" w:hAnsi="宋体" w:eastAsia="宋体" w:cs="宋体"/>
          <w:color w:val="auto"/>
          <w:sz w:val="24"/>
          <w:szCs w:val="24"/>
          <w:highlight w:val="none"/>
          <w:lang w:val="zh-CN"/>
        </w:rPr>
        <w:t>员工有违反交易惯例的行为，如个人签约或另行指定转款账户的行为，均视为无效。</w:t>
      </w:r>
    </w:p>
    <w:p w14:paraId="4F36792D">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请采购方及其上级纪检和监察部门监督执行，如我方违反上述承诺，采购方可取消我方成交资格，涉嫌犯罪的除承担刑事责任外，给采购方造成经济损失的，应无条件予以赔偿。</w:t>
      </w:r>
    </w:p>
    <w:p w14:paraId="6AA658DA">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p>
    <w:p w14:paraId="1C78DAF7">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供应商（公章）：</w:t>
      </w:r>
    </w:p>
    <w:p w14:paraId="4D81BB97">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jc w:val="left"/>
        <w:textAlignment w:val="auto"/>
        <w:rPr>
          <w:rFonts w:hint="eastAsia" w:ascii="宋体" w:hAnsi="宋体" w:eastAsia="宋体" w:cs="宋体"/>
          <w:color w:val="auto"/>
          <w:sz w:val="24"/>
          <w:szCs w:val="24"/>
          <w:highlight w:val="none"/>
          <w:lang w:val="zh-CN"/>
        </w:rPr>
      </w:pPr>
      <w:r>
        <w:rPr>
          <w:rFonts w:hint="eastAsia" w:ascii="宋体" w:hAnsi="宋体" w:eastAsia="宋体" w:cs="宋体"/>
          <w:color w:val="auto"/>
          <w:sz w:val="24"/>
          <w:szCs w:val="24"/>
          <w:highlight w:val="none"/>
          <w:lang w:val="zh-CN"/>
        </w:rPr>
        <w:t>法定代表人或其授权的代理人（签字或签章）：</w:t>
      </w:r>
    </w:p>
    <w:p w14:paraId="7614E84C">
      <w:pPr>
        <w:keepNext w:val="0"/>
        <w:keepLines w:val="0"/>
        <w:pageBreakBefore w:val="0"/>
        <w:widowControl w:val="0"/>
        <w:kinsoku/>
        <w:wordWrap/>
        <w:overflowPunct/>
        <w:topLinePunct w:val="0"/>
        <w:autoSpaceDE/>
        <w:autoSpaceDN/>
        <w:bidi w:val="0"/>
        <w:adjustRightInd w:val="0"/>
        <w:snapToGrid w:val="0"/>
        <w:spacing w:beforeAutospacing="0" w:afterAutospacing="0" w:line="580" w:lineRule="exact"/>
        <w:ind w:firstLine="480" w:firstLineChars="200"/>
        <w:textAlignment w:val="auto"/>
        <w:rPr>
          <w:rFonts w:hint="eastAsia"/>
          <w:color w:val="auto"/>
        </w:rPr>
      </w:pPr>
      <w:r>
        <w:rPr>
          <w:rFonts w:hint="eastAsia" w:ascii="宋体" w:hAnsi="宋体" w:eastAsia="宋体" w:cs="宋体"/>
          <w:color w:val="auto"/>
          <w:sz w:val="24"/>
          <w:szCs w:val="24"/>
          <w:highlight w:val="none"/>
          <w:lang w:val="zh-CN"/>
        </w:rPr>
        <w:t>202</w:t>
      </w:r>
      <w:r>
        <w:rPr>
          <w:rFonts w:hint="eastAsia" w:ascii="宋体" w:hAnsi="宋体" w:cs="宋体"/>
          <w:color w:val="auto"/>
          <w:sz w:val="24"/>
          <w:szCs w:val="24"/>
          <w:highlight w:val="none"/>
          <w:lang w:val="en-US" w:eastAsia="zh-CN"/>
        </w:rPr>
        <w:t>6</w:t>
      </w:r>
      <w:r>
        <w:rPr>
          <w:rFonts w:hint="eastAsia" w:ascii="宋体" w:hAnsi="宋体" w:eastAsia="宋体" w:cs="宋体"/>
          <w:color w:val="auto"/>
          <w:sz w:val="24"/>
          <w:szCs w:val="24"/>
          <w:highlight w:val="none"/>
          <w:lang w:val="zh-CN"/>
        </w:rPr>
        <w:t xml:space="preserve">年  月  日 </w:t>
      </w:r>
    </w:p>
    <w:p w14:paraId="3A83FC74">
      <w:pPr>
        <w:rPr>
          <w:color w:val="auto"/>
        </w:rPr>
      </w:pPr>
    </w:p>
    <w:sectPr>
      <w:pgSz w:w="11906" w:h="16838"/>
      <w:pgMar w:top="1928" w:right="1446" w:bottom="1644" w:left="14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panose1 w:val="02000000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embedRegular r:id="rId1" w:fontKey="{761E3BDF-7363-4C7A-A0EF-6D5D0B9BBCF2}"/>
  </w:font>
  <w:font w:name="方正黑体_GBK">
    <w:panose1 w:val="02010600010101010101"/>
    <w:charset w:val="86"/>
    <w:family w:val="auto"/>
    <w:pitch w:val="default"/>
    <w:sig w:usb0="00000001" w:usb1="080E0000" w:usb2="00000000" w:usb3="00000000" w:csb0="00040000" w:csb1="00000000"/>
    <w:embedRegular r:id="rId2" w:fontKey="{4A1B2985-06A6-462B-8EC7-D30DEF0971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TrueTypeFonts/>
  <w:saveSubset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7FD"/>
    <w:rsid w:val="003E67FD"/>
    <w:rsid w:val="003F5C01"/>
    <w:rsid w:val="0040776E"/>
    <w:rsid w:val="004F475C"/>
    <w:rsid w:val="00536462"/>
    <w:rsid w:val="009B4235"/>
    <w:rsid w:val="009B68DB"/>
    <w:rsid w:val="00A00C3C"/>
    <w:rsid w:val="00B8433D"/>
    <w:rsid w:val="00BE51FC"/>
    <w:rsid w:val="00CA7B32"/>
    <w:rsid w:val="00EA047E"/>
    <w:rsid w:val="010D6029"/>
    <w:rsid w:val="01B8412F"/>
    <w:rsid w:val="02A55AD5"/>
    <w:rsid w:val="036F1CD7"/>
    <w:rsid w:val="037D56E7"/>
    <w:rsid w:val="038720C2"/>
    <w:rsid w:val="03EA68C5"/>
    <w:rsid w:val="0808058E"/>
    <w:rsid w:val="08397703"/>
    <w:rsid w:val="094D790A"/>
    <w:rsid w:val="0A1341F3"/>
    <w:rsid w:val="0A2763AD"/>
    <w:rsid w:val="0AF3003D"/>
    <w:rsid w:val="0C49660D"/>
    <w:rsid w:val="0EE14495"/>
    <w:rsid w:val="0F8E47D8"/>
    <w:rsid w:val="10044A9B"/>
    <w:rsid w:val="110A4DCF"/>
    <w:rsid w:val="136F66CF"/>
    <w:rsid w:val="161D3027"/>
    <w:rsid w:val="175574FA"/>
    <w:rsid w:val="1A0F6516"/>
    <w:rsid w:val="1AE71241"/>
    <w:rsid w:val="1C13053F"/>
    <w:rsid w:val="1D0D31E0"/>
    <w:rsid w:val="1DEF6D8A"/>
    <w:rsid w:val="1E026ABD"/>
    <w:rsid w:val="1E9A6CF6"/>
    <w:rsid w:val="1E9F255E"/>
    <w:rsid w:val="205B0707"/>
    <w:rsid w:val="211368E4"/>
    <w:rsid w:val="213571AA"/>
    <w:rsid w:val="215D04AF"/>
    <w:rsid w:val="22AC349C"/>
    <w:rsid w:val="22F37464"/>
    <w:rsid w:val="2335516A"/>
    <w:rsid w:val="23A14683"/>
    <w:rsid w:val="23B37125"/>
    <w:rsid w:val="24C50845"/>
    <w:rsid w:val="25493224"/>
    <w:rsid w:val="281E3468"/>
    <w:rsid w:val="29700F5B"/>
    <w:rsid w:val="29F97E7A"/>
    <w:rsid w:val="2A007C29"/>
    <w:rsid w:val="2A273408"/>
    <w:rsid w:val="2A9F38E6"/>
    <w:rsid w:val="2B280569"/>
    <w:rsid w:val="2C7C3EDF"/>
    <w:rsid w:val="2D9E7E85"/>
    <w:rsid w:val="2DA3624E"/>
    <w:rsid w:val="300907D1"/>
    <w:rsid w:val="307078F5"/>
    <w:rsid w:val="31541DF4"/>
    <w:rsid w:val="318610E6"/>
    <w:rsid w:val="329448A6"/>
    <w:rsid w:val="32AB5AA6"/>
    <w:rsid w:val="347D25A2"/>
    <w:rsid w:val="34A35D81"/>
    <w:rsid w:val="35167F35"/>
    <w:rsid w:val="36E20DE2"/>
    <w:rsid w:val="38A4272A"/>
    <w:rsid w:val="395F2BBE"/>
    <w:rsid w:val="398B7EEB"/>
    <w:rsid w:val="39965EB4"/>
    <w:rsid w:val="3BEA71E9"/>
    <w:rsid w:val="3C025A83"/>
    <w:rsid w:val="3C740D90"/>
    <w:rsid w:val="3CFA30AA"/>
    <w:rsid w:val="3E974BA8"/>
    <w:rsid w:val="3F9115F7"/>
    <w:rsid w:val="3FCF2120"/>
    <w:rsid w:val="401A783F"/>
    <w:rsid w:val="403E4E33"/>
    <w:rsid w:val="40414DCB"/>
    <w:rsid w:val="4061546E"/>
    <w:rsid w:val="40A811A3"/>
    <w:rsid w:val="41407A0C"/>
    <w:rsid w:val="42277902"/>
    <w:rsid w:val="42C929F1"/>
    <w:rsid w:val="42DD684A"/>
    <w:rsid w:val="4339493F"/>
    <w:rsid w:val="437367CF"/>
    <w:rsid w:val="4407632C"/>
    <w:rsid w:val="45576E3F"/>
    <w:rsid w:val="455C6563"/>
    <w:rsid w:val="456C2437"/>
    <w:rsid w:val="45D71FFD"/>
    <w:rsid w:val="462907DC"/>
    <w:rsid w:val="465D5FA9"/>
    <w:rsid w:val="46634F2A"/>
    <w:rsid w:val="479E48B1"/>
    <w:rsid w:val="47A3432B"/>
    <w:rsid w:val="47F35FDF"/>
    <w:rsid w:val="48E750F5"/>
    <w:rsid w:val="48E7672C"/>
    <w:rsid w:val="497956EF"/>
    <w:rsid w:val="49A87C69"/>
    <w:rsid w:val="49F70BF1"/>
    <w:rsid w:val="4BDA60D4"/>
    <w:rsid w:val="4D3C0EBB"/>
    <w:rsid w:val="4E297BBB"/>
    <w:rsid w:val="4ED908C5"/>
    <w:rsid w:val="50C37149"/>
    <w:rsid w:val="50CA4969"/>
    <w:rsid w:val="515F6BC4"/>
    <w:rsid w:val="55BD4A9D"/>
    <w:rsid w:val="56085B21"/>
    <w:rsid w:val="567D5FDA"/>
    <w:rsid w:val="57F86260"/>
    <w:rsid w:val="59633BAD"/>
    <w:rsid w:val="599D70BF"/>
    <w:rsid w:val="5AFF3461"/>
    <w:rsid w:val="5DE0757A"/>
    <w:rsid w:val="5F57386C"/>
    <w:rsid w:val="5FC0745B"/>
    <w:rsid w:val="61AC071D"/>
    <w:rsid w:val="62DD677E"/>
    <w:rsid w:val="63491372"/>
    <w:rsid w:val="644F5459"/>
    <w:rsid w:val="6488096B"/>
    <w:rsid w:val="64A227CA"/>
    <w:rsid w:val="64D37E39"/>
    <w:rsid w:val="64FE5585"/>
    <w:rsid w:val="66964B2B"/>
    <w:rsid w:val="67843FC6"/>
    <w:rsid w:val="67A552B7"/>
    <w:rsid w:val="69674FF3"/>
    <w:rsid w:val="69EF3929"/>
    <w:rsid w:val="6AA302AD"/>
    <w:rsid w:val="6AC344AB"/>
    <w:rsid w:val="6B1940CB"/>
    <w:rsid w:val="6B4150D0"/>
    <w:rsid w:val="6CDE737B"/>
    <w:rsid w:val="6CFA17AD"/>
    <w:rsid w:val="6DC24EEE"/>
    <w:rsid w:val="6F3E67F6"/>
    <w:rsid w:val="6F8F0E00"/>
    <w:rsid w:val="6FA06B69"/>
    <w:rsid w:val="6FBA6CE8"/>
    <w:rsid w:val="706758D9"/>
    <w:rsid w:val="71175551"/>
    <w:rsid w:val="71211F2C"/>
    <w:rsid w:val="71787D27"/>
    <w:rsid w:val="7383558F"/>
    <w:rsid w:val="738D38A8"/>
    <w:rsid w:val="74BF27B2"/>
    <w:rsid w:val="74DE76B0"/>
    <w:rsid w:val="76A21B93"/>
    <w:rsid w:val="76AA29C3"/>
    <w:rsid w:val="775832D0"/>
    <w:rsid w:val="7868692A"/>
    <w:rsid w:val="78922CE5"/>
    <w:rsid w:val="78F87A16"/>
    <w:rsid w:val="78FB45F7"/>
    <w:rsid w:val="79246F07"/>
    <w:rsid w:val="799A287B"/>
    <w:rsid w:val="79DC7338"/>
    <w:rsid w:val="7B3D3E06"/>
    <w:rsid w:val="7C30077B"/>
    <w:rsid w:val="7CE43DC9"/>
    <w:rsid w:val="7D472D1A"/>
    <w:rsid w:val="7D94130C"/>
    <w:rsid w:val="7DB67EA0"/>
    <w:rsid w:val="7E4213F6"/>
    <w:rsid w:val="7EF0556B"/>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2"/>
    <w:basedOn w:val="1"/>
    <w:next w:val="1"/>
    <w:link w:val="11"/>
    <w:qFormat/>
    <w:uiPriority w:val="0"/>
    <w:pPr>
      <w:keepNext/>
      <w:keepLines/>
      <w:spacing w:before="260" w:after="260" w:line="413" w:lineRule="auto"/>
      <w:outlineLvl w:val="1"/>
    </w:pPr>
    <w:rPr>
      <w:rFonts w:ascii="Arial" w:hAnsi="Arial" w:eastAsia="黑体"/>
      <w:b/>
      <w:sz w:val="32"/>
    </w:rPr>
  </w:style>
  <w:style w:type="paragraph" w:styleId="3">
    <w:name w:val="heading 3"/>
    <w:basedOn w:val="1"/>
    <w:next w:val="1"/>
    <w:link w:val="12"/>
    <w:unhideWhenUsed/>
    <w:qFormat/>
    <w:uiPriority w:val="9"/>
    <w:pPr>
      <w:keepNext/>
      <w:keepLines/>
      <w:spacing w:before="260" w:after="260" w:line="416" w:lineRule="auto"/>
      <w:outlineLvl w:val="2"/>
    </w:pPr>
    <w:rPr>
      <w:b/>
      <w:bCs/>
      <w:sz w:val="32"/>
      <w:szCs w:val="32"/>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Body Text"/>
    <w:basedOn w:val="1"/>
    <w:link w:val="14"/>
    <w:semiHidden/>
    <w:unhideWhenUsed/>
    <w:qFormat/>
    <w:uiPriority w:val="99"/>
    <w:pPr>
      <w:spacing w:after="120"/>
    </w:pPr>
  </w:style>
  <w:style w:type="paragraph" w:styleId="5">
    <w:name w:val="Body Text Indent 2"/>
    <w:basedOn w:val="1"/>
    <w:link w:val="13"/>
    <w:qFormat/>
    <w:uiPriority w:val="0"/>
    <w:pPr>
      <w:snapToGrid w:val="0"/>
      <w:spacing w:line="560" w:lineRule="atLeast"/>
      <w:ind w:firstLine="540"/>
    </w:pPr>
  </w:style>
  <w:style w:type="paragraph" w:styleId="6">
    <w:name w:val="Body Text First Indent"/>
    <w:basedOn w:val="4"/>
    <w:next w:val="1"/>
    <w:link w:val="15"/>
    <w:qFormat/>
    <w:uiPriority w:val="0"/>
    <w:pPr>
      <w:spacing w:after="0" w:line="360" w:lineRule="auto"/>
      <w:ind w:firstLine="420"/>
    </w:pPr>
    <w:rPr>
      <w:rFonts w:ascii="宋体" w:hAnsi="宋体" w:eastAsia="仿宋_GB2312"/>
      <w:sz w:val="24"/>
    </w:rPr>
  </w:style>
  <w:style w:type="table" w:styleId="8">
    <w:name w:val="Table Grid"/>
    <w:basedOn w:val="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basedOn w:val="9"/>
    <w:qFormat/>
    <w:uiPriority w:val="22"/>
    <w:rPr>
      <w:b/>
    </w:rPr>
  </w:style>
  <w:style w:type="character" w:customStyle="1" w:styleId="11">
    <w:name w:val="标题 2 Char"/>
    <w:basedOn w:val="9"/>
    <w:link w:val="2"/>
    <w:qFormat/>
    <w:uiPriority w:val="0"/>
    <w:rPr>
      <w:rFonts w:ascii="Arial" w:hAnsi="Arial" w:eastAsia="黑体" w:cs="Times New Roman"/>
      <w:b/>
      <w:sz w:val="32"/>
      <w:szCs w:val="20"/>
    </w:rPr>
  </w:style>
  <w:style w:type="character" w:customStyle="1" w:styleId="12">
    <w:name w:val="标题 3 Char"/>
    <w:basedOn w:val="9"/>
    <w:link w:val="3"/>
    <w:qFormat/>
    <w:uiPriority w:val="9"/>
    <w:rPr>
      <w:rFonts w:ascii="Times New Roman" w:hAnsi="Times New Roman" w:eastAsia="宋体" w:cs="Times New Roman"/>
      <w:b/>
      <w:bCs/>
      <w:sz w:val="32"/>
      <w:szCs w:val="32"/>
    </w:rPr>
  </w:style>
  <w:style w:type="character" w:customStyle="1" w:styleId="13">
    <w:name w:val="正文文本缩进 2 Char"/>
    <w:basedOn w:val="9"/>
    <w:link w:val="5"/>
    <w:qFormat/>
    <w:uiPriority w:val="0"/>
    <w:rPr>
      <w:rFonts w:ascii="Times New Roman" w:hAnsi="Times New Roman" w:eastAsia="宋体" w:cs="Times New Roman"/>
      <w:sz w:val="28"/>
      <w:szCs w:val="20"/>
    </w:rPr>
  </w:style>
  <w:style w:type="character" w:customStyle="1" w:styleId="14">
    <w:name w:val="正文文本 Char"/>
    <w:basedOn w:val="9"/>
    <w:link w:val="4"/>
    <w:semiHidden/>
    <w:qFormat/>
    <w:uiPriority w:val="99"/>
    <w:rPr>
      <w:rFonts w:ascii="Times New Roman" w:hAnsi="Times New Roman" w:eastAsia="宋体" w:cs="Times New Roman"/>
      <w:sz w:val="28"/>
      <w:szCs w:val="20"/>
    </w:rPr>
  </w:style>
  <w:style w:type="character" w:customStyle="1" w:styleId="15">
    <w:name w:val="正文首行缩进 Char"/>
    <w:basedOn w:val="14"/>
    <w:link w:val="6"/>
    <w:qFormat/>
    <w:uiPriority w:val="0"/>
    <w:rPr>
      <w:rFonts w:ascii="宋体" w:hAnsi="宋体" w:eastAsia="仿宋_GB2312" w:cs="Times New Roman"/>
      <w:sz w:val="24"/>
      <w:szCs w:val="20"/>
    </w:rPr>
  </w:style>
  <w:style w:type="paragraph" w:customStyle="1" w:styleId="16">
    <w:name w:val="正文格式"/>
    <w:basedOn w:val="1"/>
    <w:qFormat/>
    <w:uiPriority w:val="0"/>
    <w:pPr>
      <w:widowControl/>
      <w:adjustRightInd w:val="0"/>
      <w:snapToGrid w:val="0"/>
      <w:spacing w:before="60" w:line="360" w:lineRule="auto"/>
      <w:ind w:firstLine="480" w:firstLineChars="200"/>
      <w:jc w:val="left"/>
      <w:textAlignment w:val="baseline"/>
    </w:pPr>
    <w:rPr>
      <w:rFonts w:ascii="宋体" w:hAnsi="宋体"/>
      <w:color w:val="000000"/>
      <w:kern w:val="0"/>
      <w:sz w:val="24"/>
      <w:szCs w:val="22"/>
    </w:rPr>
  </w:style>
  <w:style w:type="paragraph" w:customStyle="1" w:styleId="17">
    <w:name w:val="Heading3"/>
    <w:basedOn w:val="1"/>
    <w:next w:val="1"/>
    <w:qFormat/>
    <w:uiPriority w:val="0"/>
    <w:pPr>
      <w:keepNext/>
      <w:keepLines/>
      <w:spacing w:before="260" w:after="260" w:line="412" w:lineRule="auto"/>
    </w:pPr>
    <w:rPr>
      <w:b/>
      <w:bCs/>
      <w:sz w:val="32"/>
      <w:szCs w:val="32"/>
    </w:rPr>
  </w:style>
  <w:style w:type="paragraph" w:styleId="18">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1827</Words>
  <Characters>1945</Characters>
  <Lines>17</Lines>
  <Paragraphs>4</Paragraphs>
  <TotalTime>0</TotalTime>
  <ScaleCrop>false</ScaleCrop>
  <LinksUpToDate>false</LinksUpToDate>
  <CharactersWithSpaces>1948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2025-11-26T02:16:00Z</dcterms:created>
  <dc:creator>admin</dc:creator>
  <cp:lastModifiedBy>航</cp:lastModifiedBy>
  <cp:lastPrinted>2026-06-24T03:11:00Z</cp:lastPrinted>
  <dcterms:modified xsi:type="dcterms:W3CDTF">2026-07-01T01:07:35Z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eyJoZGlkIjoiY2Y4Njg0NGFmMzgwOWY1MjIxY2RhNmQ5MDY0NGQxMDUiLCJ1c2VySWQiOiI0MzM3MDk0NTkifQ==</vt:lpwstr>
  </property>
  <property fmtid="{D5CDD505-2E9C-101B-9397-08002B2CF9AE}" pid="3" name="KSOProductBuildVer">
    <vt:lpwstr>2052-12.1.0.26895</vt:lpwstr>
  </property>
  <property fmtid="{D5CDD505-2E9C-101B-9397-08002B2CF9AE}" pid="4" name="ICV">
    <vt:lpwstr>C445D0BD27FF4869A0D3130DCCADF578_13</vt:lpwstr>
  </property>
</Properties>
</file>