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6BA7E8">
      <w:pPr>
        <w:widowControl/>
        <w:shd w:val="clear" w:color="auto" w:fill="FFFFFF"/>
        <w:spacing w:line="500" w:lineRule="exact"/>
        <w:jc w:val="center"/>
        <w:rPr>
          <w:rFonts w:eastAsia="方正仿宋_GBK" w:cs="宋体" w:asciiTheme="minorHAnsi" w:hAnsiTheme="minorHAnsi"/>
          <w:b/>
          <w:bCs/>
          <w:color w:val="auto"/>
          <w:kern w:val="0"/>
          <w:sz w:val="32"/>
          <w:szCs w:val="32"/>
          <w:highlight w:val="none"/>
        </w:rPr>
      </w:pPr>
    </w:p>
    <w:p w14:paraId="3A803D62">
      <w:pPr>
        <w:widowControl/>
        <w:shd w:val="clear" w:color="auto" w:fill="FFFFFF"/>
        <w:spacing w:line="500" w:lineRule="exact"/>
        <w:rPr>
          <w:rFonts w:ascii="方正仿宋_GBK" w:hAnsi="宋体" w:eastAsia="方正仿宋_GBK" w:cs="宋体"/>
          <w:b/>
          <w:bCs/>
          <w:color w:val="auto"/>
          <w:kern w:val="0"/>
          <w:sz w:val="32"/>
          <w:szCs w:val="32"/>
          <w:highlight w:val="none"/>
        </w:rPr>
      </w:pPr>
    </w:p>
    <w:p w14:paraId="1867F526">
      <w:pPr>
        <w:widowControl/>
        <w:shd w:val="clear" w:color="auto" w:fill="FFFFFF"/>
        <w:spacing w:line="500" w:lineRule="exact"/>
        <w:jc w:val="center"/>
        <w:rPr>
          <w:rFonts w:ascii="方正仿宋_GBK" w:hAnsi="宋体" w:eastAsia="方正仿宋_GBK" w:cs="宋体"/>
          <w:b/>
          <w:bCs/>
          <w:color w:val="auto"/>
          <w:kern w:val="0"/>
          <w:sz w:val="32"/>
          <w:szCs w:val="32"/>
          <w:highlight w:val="none"/>
        </w:rPr>
      </w:pPr>
    </w:p>
    <w:p w14:paraId="7068CC5A">
      <w:pPr>
        <w:jc w:val="center"/>
        <w:rPr>
          <w:rFonts w:ascii="宋体" w:hAnsi="宋体" w:cs="宋体"/>
          <w:b/>
          <w:bCs/>
          <w:color w:val="auto"/>
          <w:spacing w:val="80"/>
          <w:sz w:val="260"/>
          <w:szCs w:val="260"/>
          <w:highlight w:val="none"/>
        </w:rPr>
      </w:pPr>
      <w:r>
        <w:rPr>
          <w:rFonts w:hint="eastAsia" w:ascii="宋体" w:hAnsi="宋体" w:cs="宋体"/>
          <w:b/>
          <w:bCs/>
          <w:color w:val="auto"/>
          <w:sz w:val="96"/>
          <w:szCs w:val="56"/>
          <w:highlight w:val="none"/>
          <w:lang w:eastAsia="zh-CN"/>
        </w:rPr>
        <w:t>询比</w:t>
      </w:r>
      <w:r>
        <w:rPr>
          <w:rFonts w:hint="eastAsia" w:ascii="宋体" w:hAnsi="宋体" w:cs="宋体"/>
          <w:b/>
          <w:bCs/>
          <w:color w:val="auto"/>
          <w:sz w:val="96"/>
          <w:szCs w:val="56"/>
          <w:highlight w:val="none"/>
        </w:rPr>
        <w:t>文件</w:t>
      </w:r>
    </w:p>
    <w:p w14:paraId="641D7F7A">
      <w:pPr>
        <w:spacing w:line="700" w:lineRule="exact"/>
        <w:ind w:left="3196" w:leftChars="570" w:hanging="1600" w:hangingChars="500"/>
        <w:jc w:val="center"/>
        <w:rPr>
          <w:rFonts w:ascii="宋体" w:hAnsi="宋体" w:cs="宋体"/>
          <w:color w:val="auto"/>
          <w:sz w:val="32"/>
          <w:szCs w:val="32"/>
          <w:highlight w:val="none"/>
        </w:rPr>
      </w:pPr>
    </w:p>
    <w:p w14:paraId="4C977B98">
      <w:pPr>
        <w:spacing w:line="700" w:lineRule="exact"/>
        <w:ind w:left="3196" w:leftChars="570" w:hanging="1600" w:hangingChars="500"/>
        <w:jc w:val="center"/>
        <w:rPr>
          <w:rFonts w:ascii="宋体" w:hAnsi="宋体" w:cs="宋体"/>
          <w:color w:val="auto"/>
          <w:sz w:val="32"/>
          <w:szCs w:val="32"/>
          <w:highlight w:val="none"/>
        </w:rPr>
      </w:pPr>
    </w:p>
    <w:p w14:paraId="63268F1E">
      <w:pPr>
        <w:spacing w:line="700" w:lineRule="exact"/>
        <w:ind w:left="3196" w:leftChars="570" w:hanging="1600" w:hangingChars="500"/>
        <w:jc w:val="center"/>
        <w:rPr>
          <w:rFonts w:ascii="宋体" w:hAnsi="宋体" w:cs="宋体"/>
          <w:color w:val="auto"/>
          <w:sz w:val="32"/>
          <w:szCs w:val="32"/>
          <w:highlight w:val="none"/>
        </w:rPr>
      </w:pPr>
    </w:p>
    <w:p w14:paraId="60D516FF">
      <w:pPr>
        <w:spacing w:line="700" w:lineRule="exact"/>
        <w:ind w:left="3196" w:leftChars="570" w:hanging="1600" w:hangingChars="500"/>
        <w:jc w:val="center"/>
        <w:rPr>
          <w:rFonts w:ascii="宋体" w:hAnsi="宋体" w:cs="宋体"/>
          <w:color w:val="auto"/>
          <w:sz w:val="32"/>
          <w:szCs w:val="32"/>
          <w:highlight w:val="none"/>
        </w:rPr>
      </w:pPr>
    </w:p>
    <w:p w14:paraId="11DE764C">
      <w:pPr>
        <w:pStyle w:val="11"/>
        <w:keepNext w:val="0"/>
        <w:keepLines w:val="0"/>
        <w:widowControl/>
        <w:suppressLineNumbers w:val="0"/>
        <w:jc w:val="center"/>
        <w:rPr>
          <w:rFonts w:hint="default" w:ascii="宋体" w:hAnsi="宋体" w:eastAsia="宋体" w:cs="宋体"/>
          <w:b/>
          <w:bCs/>
          <w:color w:val="auto"/>
          <w:kern w:val="0"/>
          <w:sz w:val="40"/>
          <w:szCs w:val="40"/>
          <w:highlight w:val="none"/>
          <w:lang w:val="en-US" w:eastAsia="zh-CN"/>
        </w:rPr>
      </w:pPr>
      <w:r>
        <w:rPr>
          <w:rFonts w:hint="eastAsia" w:ascii="宋体" w:hAnsi="宋体" w:cs="宋体"/>
          <w:b/>
          <w:bCs/>
          <w:color w:val="auto"/>
          <w:kern w:val="0"/>
          <w:sz w:val="40"/>
          <w:szCs w:val="40"/>
          <w:highlight w:val="none"/>
        </w:rPr>
        <w:t>项目名称:</w:t>
      </w:r>
      <w:r>
        <w:rPr>
          <w:rFonts w:hint="eastAsia"/>
          <w:color w:val="auto"/>
          <w:highlight w:val="none"/>
        </w:rPr>
        <w:t xml:space="preserve"> </w:t>
      </w:r>
      <w:r>
        <w:rPr>
          <w:rFonts w:hint="eastAsia" w:ascii="宋体" w:hAnsi="宋体" w:cs="宋体"/>
          <w:b/>
          <w:bCs/>
          <w:color w:val="auto"/>
          <w:kern w:val="0"/>
          <w:sz w:val="40"/>
          <w:szCs w:val="40"/>
          <w:highlight w:val="none"/>
          <w:lang w:val="en-US" w:eastAsia="zh-CN"/>
        </w:rPr>
        <w:t>武隆关口一号墓出土木牍仿制服务</w:t>
      </w:r>
    </w:p>
    <w:p w14:paraId="4FEB74A8">
      <w:pPr>
        <w:widowControl/>
        <w:shd w:val="clear" w:color="auto" w:fill="FFFFFF"/>
        <w:spacing w:line="500" w:lineRule="exact"/>
        <w:jc w:val="center"/>
        <w:rPr>
          <w:rFonts w:hint="eastAsia" w:ascii="宋体" w:hAnsi="宋体" w:cs="宋体"/>
          <w:b/>
          <w:bCs/>
          <w:color w:val="auto"/>
          <w:kern w:val="0"/>
          <w:sz w:val="40"/>
          <w:szCs w:val="40"/>
          <w:highlight w:val="none"/>
        </w:rPr>
      </w:pPr>
    </w:p>
    <w:p w14:paraId="7B334E3C">
      <w:pPr>
        <w:pStyle w:val="6"/>
        <w:rPr>
          <w:rFonts w:hint="eastAsia" w:ascii="宋体" w:hAnsi="宋体" w:cs="宋体"/>
          <w:b/>
          <w:bCs/>
          <w:color w:val="auto"/>
          <w:kern w:val="0"/>
          <w:sz w:val="40"/>
          <w:szCs w:val="40"/>
          <w:highlight w:val="none"/>
        </w:rPr>
      </w:pPr>
    </w:p>
    <w:p w14:paraId="55FFCE6E">
      <w:pPr>
        <w:rPr>
          <w:rFonts w:hint="eastAsia"/>
          <w:color w:val="auto"/>
          <w:highlight w:val="none"/>
        </w:rPr>
      </w:pPr>
    </w:p>
    <w:p w14:paraId="7DA3A363">
      <w:pPr>
        <w:widowControl/>
        <w:shd w:val="clear" w:color="auto" w:fill="FFFFFF"/>
        <w:spacing w:line="500" w:lineRule="exact"/>
        <w:ind w:firstLine="803" w:firstLineChars="200"/>
        <w:jc w:val="center"/>
        <w:rPr>
          <w:rFonts w:ascii="宋体" w:hAnsi="宋体" w:cs="宋体"/>
          <w:b/>
          <w:bCs/>
          <w:color w:val="auto"/>
          <w:kern w:val="0"/>
          <w:sz w:val="40"/>
          <w:szCs w:val="40"/>
          <w:highlight w:val="none"/>
        </w:rPr>
      </w:pPr>
      <w:r>
        <w:rPr>
          <w:rFonts w:hint="eastAsia" w:ascii="宋体" w:hAnsi="宋体" w:cs="宋体"/>
          <w:b/>
          <w:bCs/>
          <w:color w:val="auto"/>
          <w:kern w:val="0"/>
          <w:sz w:val="40"/>
          <w:szCs w:val="40"/>
          <w:highlight w:val="none"/>
        </w:rPr>
        <w:t>采购人：重庆市文物考古研究院(重庆文化遗产保护中心)</w:t>
      </w:r>
    </w:p>
    <w:p w14:paraId="58EE6803">
      <w:pPr>
        <w:widowControl/>
        <w:shd w:val="clear" w:color="auto" w:fill="FFFFFF"/>
        <w:spacing w:line="500" w:lineRule="exact"/>
        <w:jc w:val="center"/>
        <w:rPr>
          <w:rFonts w:ascii="宋体" w:hAnsi="宋体" w:cs="宋体"/>
          <w:b/>
          <w:bCs/>
          <w:color w:val="auto"/>
          <w:kern w:val="0"/>
          <w:sz w:val="32"/>
          <w:szCs w:val="32"/>
          <w:highlight w:val="none"/>
        </w:rPr>
      </w:pPr>
    </w:p>
    <w:p w14:paraId="051DBCD7">
      <w:pPr>
        <w:widowControl/>
        <w:shd w:val="clear" w:color="auto" w:fill="FFFFFF"/>
        <w:spacing w:line="500" w:lineRule="exact"/>
        <w:jc w:val="center"/>
        <w:rPr>
          <w:rFonts w:ascii="宋体" w:hAnsi="宋体" w:cs="宋体"/>
          <w:b/>
          <w:bCs/>
          <w:color w:val="auto"/>
          <w:kern w:val="0"/>
          <w:sz w:val="32"/>
          <w:szCs w:val="32"/>
          <w:highlight w:val="none"/>
        </w:rPr>
      </w:pPr>
    </w:p>
    <w:p w14:paraId="27085A05">
      <w:pPr>
        <w:widowControl/>
        <w:shd w:val="clear" w:color="auto" w:fill="FFFFFF"/>
        <w:spacing w:line="500" w:lineRule="exact"/>
        <w:ind w:firstLine="643" w:firstLineChars="200"/>
        <w:jc w:val="center"/>
        <w:rPr>
          <w:rFonts w:ascii="宋体" w:hAnsi="宋体" w:cs="宋体"/>
          <w:b/>
          <w:bCs/>
          <w:color w:val="auto"/>
          <w:kern w:val="0"/>
          <w:sz w:val="32"/>
          <w:szCs w:val="32"/>
          <w:highlight w:val="none"/>
        </w:rPr>
      </w:pPr>
      <w:r>
        <w:rPr>
          <w:rFonts w:hint="eastAsia" w:ascii="宋体" w:hAnsi="宋体" w:cs="宋体"/>
          <w:b/>
          <w:bCs/>
          <w:color w:val="auto"/>
          <w:kern w:val="0"/>
          <w:sz w:val="32"/>
          <w:szCs w:val="32"/>
          <w:highlight w:val="none"/>
        </w:rPr>
        <w:t>二〇二</w:t>
      </w:r>
      <w:r>
        <w:rPr>
          <w:rFonts w:hint="eastAsia" w:ascii="宋体" w:hAnsi="宋体" w:cs="宋体"/>
          <w:b/>
          <w:bCs/>
          <w:color w:val="auto"/>
          <w:kern w:val="0"/>
          <w:sz w:val="32"/>
          <w:szCs w:val="32"/>
          <w:highlight w:val="none"/>
          <w:lang w:val="en-US" w:eastAsia="zh-CN"/>
        </w:rPr>
        <w:t>六</w:t>
      </w:r>
      <w:r>
        <w:rPr>
          <w:rFonts w:hint="eastAsia" w:ascii="宋体" w:hAnsi="宋体" w:cs="宋体"/>
          <w:b/>
          <w:bCs/>
          <w:color w:val="auto"/>
          <w:kern w:val="0"/>
          <w:sz w:val="32"/>
          <w:szCs w:val="32"/>
          <w:highlight w:val="none"/>
        </w:rPr>
        <w:t>年</w:t>
      </w:r>
      <w:r>
        <w:rPr>
          <w:rFonts w:hint="eastAsia" w:ascii="宋体" w:hAnsi="宋体" w:cs="宋体"/>
          <w:b/>
          <w:bCs/>
          <w:color w:val="auto"/>
          <w:kern w:val="0"/>
          <w:sz w:val="32"/>
          <w:szCs w:val="32"/>
          <w:highlight w:val="none"/>
          <w:lang w:val="en-US" w:eastAsia="zh-CN"/>
        </w:rPr>
        <w:t>七</w:t>
      </w:r>
      <w:r>
        <w:rPr>
          <w:rFonts w:hint="eastAsia" w:ascii="宋体" w:hAnsi="宋体" w:cs="宋体"/>
          <w:b/>
          <w:bCs/>
          <w:color w:val="auto"/>
          <w:kern w:val="0"/>
          <w:sz w:val="32"/>
          <w:szCs w:val="32"/>
          <w:highlight w:val="none"/>
        </w:rPr>
        <w:t>月</w:t>
      </w:r>
    </w:p>
    <w:p w14:paraId="4A1BC014">
      <w:pPr>
        <w:widowControl/>
        <w:shd w:val="clear" w:color="auto" w:fill="FFFFFF"/>
        <w:spacing w:line="500" w:lineRule="exact"/>
        <w:jc w:val="center"/>
        <w:rPr>
          <w:rFonts w:ascii="宋体" w:hAnsi="宋体" w:cs="宋体"/>
          <w:b/>
          <w:bCs/>
          <w:color w:val="auto"/>
          <w:kern w:val="0"/>
          <w:sz w:val="32"/>
          <w:szCs w:val="32"/>
          <w:highlight w:val="none"/>
        </w:rPr>
      </w:pPr>
    </w:p>
    <w:p w14:paraId="38B610B7">
      <w:pPr>
        <w:widowControl/>
        <w:shd w:val="clear" w:color="auto" w:fill="FFFFFF"/>
        <w:spacing w:line="500" w:lineRule="exact"/>
        <w:jc w:val="center"/>
        <w:rPr>
          <w:rFonts w:ascii="宋体" w:hAnsi="宋体" w:cs="宋体"/>
          <w:b/>
          <w:bCs/>
          <w:color w:val="auto"/>
          <w:kern w:val="0"/>
          <w:sz w:val="32"/>
          <w:szCs w:val="32"/>
          <w:highlight w:val="none"/>
        </w:rPr>
      </w:pPr>
    </w:p>
    <w:p w14:paraId="4E14BBAA">
      <w:pPr>
        <w:rPr>
          <w:color w:val="auto"/>
          <w:highlight w:val="none"/>
        </w:rPr>
        <w:sectPr>
          <w:pgSz w:w="11906" w:h="16838"/>
          <w:pgMar w:top="1984" w:right="1446" w:bottom="1644" w:left="1446" w:header="851" w:footer="992" w:gutter="0"/>
          <w:cols w:space="425" w:num="1"/>
          <w:docGrid w:type="lines" w:linePitch="312" w:charSpace="0"/>
        </w:sectPr>
      </w:pPr>
    </w:p>
    <w:p w14:paraId="47B9AEC2">
      <w:pPr>
        <w:pageBreakBefore w:val="0"/>
        <w:widowControl/>
        <w:shd w:val="clear" w:color="auto" w:fill="FFFFFF"/>
        <w:kinsoku/>
        <w:wordWrap/>
        <w:overflowPunct/>
        <w:topLinePunct w:val="0"/>
        <w:bidi w:val="0"/>
        <w:snapToGrid w:val="0"/>
        <w:spacing w:line="288" w:lineRule="auto"/>
        <w:jc w:val="center"/>
        <w:textAlignment w:val="auto"/>
        <w:rPr>
          <w:rFonts w:ascii="宋体" w:hAnsi="宋体" w:cs="宋体"/>
          <w:b/>
          <w:bCs/>
          <w:color w:val="auto"/>
          <w:kern w:val="0"/>
          <w:sz w:val="40"/>
          <w:szCs w:val="40"/>
          <w:highlight w:val="none"/>
        </w:rPr>
      </w:pPr>
      <w:r>
        <w:rPr>
          <w:rFonts w:hint="eastAsia" w:ascii="宋体" w:hAnsi="宋体" w:cs="宋体"/>
          <w:b/>
          <w:bCs/>
          <w:color w:val="auto"/>
          <w:kern w:val="0"/>
          <w:sz w:val="40"/>
          <w:szCs w:val="40"/>
          <w:highlight w:val="none"/>
          <w:lang w:eastAsia="zh-CN"/>
        </w:rPr>
        <w:t>询比</w:t>
      </w:r>
      <w:r>
        <w:rPr>
          <w:rFonts w:hint="eastAsia" w:ascii="宋体" w:hAnsi="宋体" w:cs="宋体"/>
          <w:b/>
          <w:bCs/>
          <w:color w:val="auto"/>
          <w:kern w:val="0"/>
          <w:sz w:val="40"/>
          <w:szCs w:val="40"/>
          <w:highlight w:val="none"/>
        </w:rPr>
        <w:t>公告</w:t>
      </w:r>
    </w:p>
    <w:p w14:paraId="1C208ACF">
      <w:pPr>
        <w:pStyle w:val="24"/>
        <w:pageBreakBefore w:val="0"/>
        <w:widowControl/>
        <w:numPr>
          <w:ilvl w:val="0"/>
          <w:numId w:val="0"/>
        </w:numPr>
        <w:shd w:val="clear" w:color="auto" w:fill="FFFFFF"/>
        <w:kinsoku/>
        <w:wordWrap/>
        <w:overflowPunct/>
        <w:topLinePunct w:val="0"/>
        <w:bidi w:val="0"/>
        <w:adjustRightInd w:val="0"/>
        <w:snapToGrid w:val="0"/>
        <w:spacing w:beforeAutospacing="0" w:afterAutospacing="0" w:line="288" w:lineRule="auto"/>
        <w:ind w:firstLine="480" w:firstLineChars="200"/>
        <w:jc w:val="left"/>
        <w:textAlignment w:val="auto"/>
        <w:rPr>
          <w:rFonts w:ascii="宋体" w:hAnsi="宋体" w:cs="宋体"/>
          <w:color w:val="auto"/>
          <w:kern w:val="0"/>
          <w:sz w:val="24"/>
          <w:szCs w:val="24"/>
          <w:highlight w:val="none"/>
        </w:rPr>
      </w:pPr>
      <w:r>
        <w:rPr>
          <w:rFonts w:hint="default" w:ascii="宋体" w:hAnsi="宋体" w:eastAsia="宋体" w:cs="宋体"/>
          <w:color w:val="auto"/>
          <w:kern w:val="0"/>
          <w:sz w:val="24"/>
          <w:szCs w:val="24"/>
          <w:highlight w:val="none"/>
          <w:lang w:val="en-US" w:eastAsia="zh-CN" w:bidi="ar-SA"/>
        </w:rPr>
        <w:t>一、</w:t>
      </w:r>
      <w:r>
        <w:rPr>
          <w:rFonts w:hint="eastAsia" w:ascii="宋体" w:hAnsi="宋体" w:cs="宋体"/>
          <w:b/>
          <w:bCs/>
          <w:color w:val="auto"/>
          <w:kern w:val="0"/>
          <w:sz w:val="24"/>
          <w:szCs w:val="24"/>
          <w:highlight w:val="none"/>
        </w:rPr>
        <w:t>服务内容</w:t>
      </w:r>
    </w:p>
    <w:p w14:paraId="26C82574">
      <w:pPr>
        <w:pStyle w:val="24"/>
        <w:pageBreakBefore w:val="0"/>
        <w:widowControl/>
        <w:shd w:val="clear" w:color="auto" w:fill="FFFFFF"/>
        <w:kinsoku/>
        <w:wordWrap/>
        <w:overflowPunct/>
        <w:topLinePunct w:val="0"/>
        <w:bidi w:val="0"/>
        <w:adjustRightInd w:val="0"/>
        <w:snapToGrid w:val="0"/>
        <w:spacing w:beforeAutospacing="0" w:afterAutospacing="0" w:line="288" w:lineRule="auto"/>
        <w:ind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重庆武隆关口一号墓出土西汉木牍为乌江流域重要出土文献文物，具备极高历史与展示价值。本次选取一批有字木牍进行仿制，共14件套（详细清单如附表），解决原件脆弱无法常态化展陈的问题。</w:t>
      </w:r>
      <w:r>
        <w:rPr>
          <w:rFonts w:hint="eastAsia" w:ascii="宋体" w:hAnsi="宋体" w:eastAsia="宋体" w:cs="宋体"/>
          <w:b w:val="0"/>
          <w:bCs w:val="0"/>
          <w:color w:val="auto"/>
          <w:sz w:val="24"/>
          <w:szCs w:val="24"/>
        </w:rPr>
        <w:t>由于我院</w:t>
      </w:r>
      <w:r>
        <w:rPr>
          <w:rFonts w:hint="eastAsia" w:ascii="宋体" w:hAnsi="宋体" w:eastAsia="宋体" w:cs="宋体"/>
          <w:b w:val="0"/>
          <w:bCs w:val="0"/>
          <w:color w:val="auto"/>
          <w:sz w:val="24"/>
          <w:szCs w:val="24"/>
          <w:lang w:val="en-US" w:eastAsia="zh-CN"/>
        </w:rPr>
        <w:t>不具备木牍仿制</w:t>
      </w:r>
      <w:r>
        <w:rPr>
          <w:rFonts w:hint="eastAsia" w:ascii="宋体" w:hAnsi="宋体" w:eastAsia="宋体" w:cs="宋体"/>
          <w:b w:val="0"/>
          <w:bCs w:val="0"/>
          <w:color w:val="auto"/>
          <w:sz w:val="24"/>
          <w:szCs w:val="24"/>
        </w:rPr>
        <w:t>能力，故拟将此项</w:t>
      </w:r>
      <w:r>
        <w:rPr>
          <w:rFonts w:hint="eastAsia" w:ascii="宋体" w:hAnsi="宋体" w:eastAsia="宋体" w:cs="宋体"/>
          <w:b w:val="0"/>
          <w:bCs w:val="0"/>
          <w:color w:val="auto"/>
          <w:sz w:val="24"/>
          <w:szCs w:val="24"/>
          <w:lang w:val="en-US" w:eastAsia="zh-CN"/>
        </w:rPr>
        <w:t>对外委托实施。</w:t>
      </w:r>
    </w:p>
    <w:p w14:paraId="40C428DC">
      <w:pPr>
        <w:pStyle w:val="24"/>
        <w:pageBreakBefore w:val="0"/>
        <w:widowControl/>
        <w:shd w:val="clear" w:color="auto" w:fill="FFFFFF"/>
        <w:kinsoku/>
        <w:wordWrap/>
        <w:overflowPunct/>
        <w:topLinePunct w:val="0"/>
        <w:bidi w:val="0"/>
        <w:adjustRightInd w:val="0"/>
        <w:snapToGrid w:val="0"/>
        <w:spacing w:beforeAutospacing="0" w:afterAutospacing="0" w:line="288" w:lineRule="auto"/>
        <w:ind w:firstLine="480" w:firstLineChars="200"/>
        <w:jc w:val="left"/>
        <w:textAlignment w:val="auto"/>
        <w:rPr>
          <w:rFonts w:ascii="宋体" w:hAnsi="宋体" w:cs="宋体"/>
          <w:b/>
          <w:bCs/>
          <w:color w:val="auto"/>
          <w:kern w:val="0"/>
          <w:sz w:val="24"/>
          <w:szCs w:val="24"/>
          <w:highlight w:val="none"/>
        </w:rPr>
      </w:pPr>
      <w:r>
        <w:rPr>
          <w:rFonts w:hint="eastAsia" w:ascii="宋体" w:hAnsi="宋体" w:cs="宋体"/>
          <w:color w:val="auto"/>
          <w:kern w:val="0"/>
          <w:sz w:val="24"/>
          <w:szCs w:val="24"/>
          <w:highlight w:val="none"/>
        </w:rPr>
        <w:t>二、</w:t>
      </w:r>
      <w:r>
        <w:rPr>
          <w:rFonts w:hint="eastAsia" w:ascii="宋体" w:hAnsi="宋体" w:cs="宋体"/>
          <w:b/>
          <w:bCs/>
          <w:color w:val="auto"/>
          <w:kern w:val="0"/>
          <w:sz w:val="24"/>
          <w:szCs w:val="24"/>
          <w:highlight w:val="none"/>
        </w:rPr>
        <w:t>采购最高限价</w:t>
      </w:r>
    </w:p>
    <w:p w14:paraId="01C976CF">
      <w:pPr>
        <w:pageBreakBefore w:val="0"/>
        <w:widowControl/>
        <w:shd w:val="clear" w:color="auto" w:fill="FFFFFF"/>
        <w:kinsoku/>
        <w:wordWrap/>
        <w:overflowPunct/>
        <w:topLinePunct w:val="0"/>
        <w:bidi w:val="0"/>
        <w:adjustRightInd w:val="0"/>
        <w:snapToGrid w:val="0"/>
        <w:spacing w:beforeAutospacing="0" w:afterAutospacing="0" w:line="288" w:lineRule="auto"/>
        <w:ind w:firstLine="480" w:firstLineChars="200"/>
        <w:jc w:val="left"/>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人民币</w:t>
      </w:r>
      <w:r>
        <w:rPr>
          <w:rFonts w:hint="eastAsia" w:ascii="宋体" w:hAnsi="宋体" w:cs="宋体"/>
          <w:color w:val="auto"/>
          <w:kern w:val="0"/>
          <w:sz w:val="24"/>
          <w:szCs w:val="24"/>
          <w:highlight w:val="none"/>
          <w:lang w:val="en-US" w:eastAsia="zh-CN"/>
        </w:rPr>
        <w:t>43800.00元</w:t>
      </w:r>
      <w:r>
        <w:rPr>
          <w:rFonts w:hint="eastAsia" w:ascii="宋体" w:hAnsi="宋体" w:cs="宋体"/>
          <w:color w:val="auto"/>
          <w:kern w:val="0"/>
          <w:sz w:val="24"/>
          <w:szCs w:val="24"/>
          <w:highlight w:val="none"/>
        </w:rPr>
        <w:t>，大写：</w:t>
      </w:r>
      <w:r>
        <w:rPr>
          <w:rFonts w:hint="eastAsia" w:ascii="宋体" w:hAnsi="宋体" w:cs="宋体"/>
          <w:color w:val="auto"/>
          <w:kern w:val="0"/>
          <w:sz w:val="24"/>
          <w:szCs w:val="24"/>
          <w:highlight w:val="none"/>
          <w:lang w:val="en-US" w:eastAsia="zh-CN"/>
        </w:rPr>
        <w:t>肆万叁仟捌佰元整</w:t>
      </w:r>
      <w:r>
        <w:rPr>
          <w:rFonts w:hint="eastAsia" w:ascii="宋体" w:hAnsi="宋体" w:cs="宋体"/>
          <w:color w:val="auto"/>
          <w:kern w:val="0"/>
          <w:sz w:val="24"/>
          <w:szCs w:val="24"/>
          <w:highlight w:val="none"/>
        </w:rPr>
        <w:t>。</w:t>
      </w:r>
    </w:p>
    <w:p w14:paraId="530F80B4">
      <w:pPr>
        <w:pageBreakBefore w:val="0"/>
        <w:widowControl/>
        <w:shd w:val="clear" w:color="auto" w:fill="FFFFFF"/>
        <w:kinsoku/>
        <w:wordWrap/>
        <w:overflowPunct/>
        <w:topLinePunct w:val="0"/>
        <w:bidi w:val="0"/>
        <w:adjustRightInd w:val="0"/>
        <w:snapToGrid w:val="0"/>
        <w:spacing w:beforeAutospacing="0" w:afterAutospacing="0" w:line="288" w:lineRule="auto"/>
        <w:ind w:firstLine="482" w:firstLineChars="200"/>
        <w:jc w:val="left"/>
        <w:textAlignment w:val="auto"/>
        <w:rPr>
          <w:rFonts w:ascii="宋体" w:hAnsi="宋体" w:cs="宋体"/>
          <w:color w:val="auto"/>
          <w:kern w:val="0"/>
          <w:sz w:val="24"/>
          <w:szCs w:val="24"/>
          <w:highlight w:val="none"/>
        </w:rPr>
      </w:pPr>
      <w:r>
        <w:rPr>
          <w:rFonts w:hint="eastAsia" w:ascii="宋体" w:hAnsi="宋体" w:cs="宋体"/>
          <w:b/>
          <w:bCs/>
          <w:color w:val="auto"/>
          <w:kern w:val="0"/>
          <w:sz w:val="24"/>
          <w:szCs w:val="24"/>
          <w:highlight w:val="none"/>
        </w:rPr>
        <w:t>三、技术要求</w:t>
      </w:r>
    </w:p>
    <w:p w14:paraId="59F368B1">
      <w:pPr>
        <w:pageBreakBefore w:val="0"/>
        <w:widowControl/>
        <w:shd w:val="clear" w:color="auto" w:fill="FFFFFF"/>
        <w:kinsoku/>
        <w:wordWrap/>
        <w:overflowPunct/>
        <w:topLinePunct w:val="0"/>
        <w:bidi w:val="0"/>
        <w:adjustRightInd w:val="0"/>
        <w:snapToGrid w:val="0"/>
        <w:spacing w:beforeAutospacing="0" w:afterAutospacing="0" w:line="288" w:lineRule="auto"/>
        <w:ind w:left="238" w:leftChars="85" w:firstLine="480" w:firstLineChars="200"/>
        <w:jc w:val="left"/>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木牍仿制技术参数与制作要求如下：</w:t>
      </w:r>
    </w:p>
    <w:p w14:paraId="7506F821">
      <w:pPr>
        <w:pageBreakBefore w:val="0"/>
        <w:widowControl/>
        <w:shd w:val="clear" w:color="auto" w:fill="FFFFFF"/>
        <w:kinsoku/>
        <w:wordWrap/>
        <w:overflowPunct/>
        <w:topLinePunct w:val="0"/>
        <w:bidi w:val="0"/>
        <w:adjustRightInd w:val="0"/>
        <w:snapToGrid w:val="0"/>
        <w:spacing w:beforeAutospacing="0" w:afterAutospacing="0" w:line="288" w:lineRule="auto"/>
        <w:ind w:left="238" w:leftChars="85" w:firstLine="480" w:firstLineChars="200"/>
        <w:jc w:val="left"/>
        <w:textAlignment w:val="auto"/>
        <w:rPr>
          <w:rFonts w:hint="eastAsia" w:ascii="宋体" w:hAnsi="宋体" w:eastAsia="宋体" w:cs="宋体"/>
          <w:b w:val="0"/>
          <w:bCs/>
          <w:color w:val="auto"/>
          <w:kern w:val="0"/>
          <w:sz w:val="24"/>
          <w:szCs w:val="24"/>
          <w:highlight w:val="none"/>
        </w:rPr>
      </w:pPr>
      <w:r>
        <w:rPr>
          <w:rFonts w:hint="eastAsia" w:ascii="宋体" w:hAnsi="宋体" w:cs="宋体"/>
          <w:b w:val="0"/>
          <w:bCs/>
          <w:color w:val="auto"/>
          <w:kern w:val="0"/>
          <w:sz w:val="24"/>
          <w:szCs w:val="24"/>
          <w:highlight w:val="none"/>
          <w:lang w:eastAsia="zh-CN"/>
        </w:rPr>
        <w:t>（</w:t>
      </w:r>
      <w:r>
        <w:rPr>
          <w:rFonts w:hint="eastAsia" w:ascii="宋体" w:hAnsi="宋体" w:cs="宋体"/>
          <w:b w:val="0"/>
          <w:bCs/>
          <w:color w:val="auto"/>
          <w:kern w:val="0"/>
          <w:sz w:val="24"/>
          <w:szCs w:val="24"/>
          <w:highlight w:val="none"/>
          <w:lang w:val="en-US" w:eastAsia="zh-CN"/>
        </w:rPr>
        <w:t>一</w:t>
      </w:r>
      <w:r>
        <w:rPr>
          <w:rFonts w:hint="eastAsia" w:ascii="宋体" w:hAnsi="宋体" w:cs="宋体"/>
          <w:b w:val="0"/>
          <w:bCs/>
          <w:color w:val="auto"/>
          <w:kern w:val="0"/>
          <w:sz w:val="24"/>
          <w:szCs w:val="24"/>
          <w:highlight w:val="none"/>
          <w:lang w:eastAsia="zh-CN"/>
        </w:rPr>
        <w:t>）</w:t>
      </w:r>
      <w:r>
        <w:rPr>
          <w:rFonts w:hint="eastAsia" w:ascii="宋体" w:hAnsi="宋体" w:eastAsia="宋体" w:cs="宋体"/>
          <w:b w:val="0"/>
          <w:bCs/>
          <w:color w:val="auto"/>
          <w:kern w:val="0"/>
          <w:sz w:val="24"/>
          <w:szCs w:val="24"/>
          <w:highlight w:val="none"/>
        </w:rPr>
        <w:t>形制尺寸复刻要求</w:t>
      </w:r>
    </w:p>
    <w:p w14:paraId="4A1E943C">
      <w:pPr>
        <w:pageBreakBefore w:val="0"/>
        <w:widowControl/>
        <w:shd w:val="clear" w:color="auto" w:fill="FFFFFF"/>
        <w:kinsoku/>
        <w:wordWrap/>
        <w:overflowPunct/>
        <w:topLinePunct w:val="0"/>
        <w:bidi w:val="0"/>
        <w:adjustRightInd w:val="0"/>
        <w:snapToGrid w:val="0"/>
        <w:spacing w:beforeAutospacing="0" w:afterAutospacing="0" w:line="288" w:lineRule="auto"/>
        <w:ind w:left="238" w:leftChars="85" w:firstLine="480" w:firstLineChars="200"/>
        <w:jc w:val="left"/>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严格依据文物实测数据、高清影像和红外扫描图版，实现1：1精准复刻，整体尺寸误差≤0.5mm。选用同科属天然实木原材料，禁止使用复合板、人造板、拼接板材、现代烘干速成木材。原材料需经过脱脂、杀青、防虫、防潮、防开裂工艺处理，杜绝成品后期出现翘曲、变形、发霉、虫蛀、开裂等问题，保障长期陈列稳定性。</w:t>
      </w:r>
    </w:p>
    <w:p w14:paraId="2FC8871A">
      <w:pPr>
        <w:pageBreakBefore w:val="0"/>
        <w:widowControl/>
        <w:shd w:val="clear" w:color="auto" w:fill="FFFFFF"/>
        <w:kinsoku/>
        <w:wordWrap/>
        <w:overflowPunct/>
        <w:topLinePunct w:val="0"/>
        <w:bidi w:val="0"/>
        <w:adjustRightInd w:val="0"/>
        <w:snapToGrid w:val="0"/>
        <w:spacing w:beforeAutospacing="0" w:afterAutospacing="0" w:line="288" w:lineRule="auto"/>
        <w:ind w:left="238" w:leftChars="85" w:firstLine="480" w:firstLineChars="200"/>
        <w:jc w:val="left"/>
        <w:textAlignment w:val="auto"/>
        <w:rPr>
          <w:rFonts w:hint="eastAsia" w:ascii="宋体" w:hAnsi="宋体" w:eastAsia="宋体" w:cs="宋体"/>
          <w:b w:val="0"/>
          <w:bCs/>
          <w:color w:val="auto"/>
          <w:kern w:val="0"/>
          <w:sz w:val="24"/>
          <w:szCs w:val="24"/>
          <w:highlight w:val="none"/>
        </w:rPr>
      </w:pPr>
      <w:r>
        <w:rPr>
          <w:rFonts w:hint="eastAsia" w:ascii="宋体" w:hAnsi="宋体" w:cs="宋体"/>
          <w:b w:val="0"/>
          <w:bCs/>
          <w:color w:val="auto"/>
          <w:kern w:val="0"/>
          <w:sz w:val="24"/>
          <w:szCs w:val="24"/>
          <w:highlight w:val="none"/>
          <w:lang w:eastAsia="zh-CN"/>
        </w:rPr>
        <w:t>（</w:t>
      </w:r>
      <w:r>
        <w:rPr>
          <w:rFonts w:hint="eastAsia" w:ascii="宋体" w:hAnsi="宋体" w:cs="宋体"/>
          <w:b w:val="0"/>
          <w:bCs/>
          <w:color w:val="auto"/>
          <w:kern w:val="0"/>
          <w:sz w:val="24"/>
          <w:szCs w:val="24"/>
          <w:highlight w:val="none"/>
          <w:lang w:val="en-US" w:eastAsia="zh-CN"/>
        </w:rPr>
        <w:t>二</w:t>
      </w:r>
      <w:r>
        <w:rPr>
          <w:rFonts w:hint="eastAsia" w:ascii="宋体" w:hAnsi="宋体" w:cs="宋体"/>
          <w:b w:val="0"/>
          <w:bCs/>
          <w:color w:val="auto"/>
          <w:kern w:val="0"/>
          <w:sz w:val="24"/>
          <w:szCs w:val="24"/>
          <w:highlight w:val="none"/>
          <w:lang w:eastAsia="zh-CN"/>
        </w:rPr>
        <w:t>）</w:t>
      </w:r>
      <w:r>
        <w:rPr>
          <w:rFonts w:hint="eastAsia" w:ascii="宋体" w:hAnsi="宋体" w:eastAsia="宋体" w:cs="宋体"/>
          <w:b w:val="0"/>
          <w:bCs/>
          <w:color w:val="auto"/>
          <w:kern w:val="0"/>
          <w:sz w:val="24"/>
          <w:szCs w:val="24"/>
          <w:highlight w:val="none"/>
        </w:rPr>
        <w:t>文字与墨书制作要求</w:t>
      </w:r>
    </w:p>
    <w:p w14:paraId="16372718">
      <w:pPr>
        <w:pageBreakBefore w:val="0"/>
        <w:widowControl/>
        <w:shd w:val="clear" w:color="auto" w:fill="FFFFFF"/>
        <w:kinsoku/>
        <w:wordWrap/>
        <w:overflowPunct/>
        <w:topLinePunct w:val="0"/>
        <w:bidi w:val="0"/>
        <w:adjustRightInd w:val="0"/>
        <w:snapToGrid w:val="0"/>
        <w:spacing w:beforeAutospacing="0" w:afterAutospacing="0" w:line="288" w:lineRule="auto"/>
        <w:ind w:left="238" w:leftChars="85" w:firstLine="480" w:firstLineChars="200"/>
        <w:jc w:val="left"/>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严格依据文物红外高清图版、考古释读底稿，精准还原原文字体风格、笔画走势、字形结构、字距、行距、整体行款布局，零字形错误、零排版偏差。采用传统松烟墨手工书写，禁止使用现代工业油墨、打印墨。完整还原原件墨色浓淡、笔墨飞白、墨色洇渗、脱墨、磨损褪色、局部脱落等原生痕迹。针对原件漫漶、模糊、残缺文字，严格按照考古学术成果还原残缺形态，不得私自补全、臆造文字。</w:t>
      </w:r>
    </w:p>
    <w:p w14:paraId="00FB17FB">
      <w:pPr>
        <w:pageBreakBefore w:val="0"/>
        <w:widowControl/>
        <w:shd w:val="clear" w:color="auto" w:fill="FFFFFF"/>
        <w:kinsoku/>
        <w:wordWrap/>
        <w:overflowPunct/>
        <w:topLinePunct w:val="0"/>
        <w:bidi w:val="0"/>
        <w:adjustRightInd w:val="0"/>
        <w:snapToGrid w:val="0"/>
        <w:spacing w:beforeAutospacing="0" w:afterAutospacing="0" w:line="288" w:lineRule="auto"/>
        <w:ind w:left="238" w:leftChars="85" w:firstLine="480" w:firstLineChars="200"/>
        <w:jc w:val="left"/>
        <w:textAlignment w:val="auto"/>
        <w:rPr>
          <w:rFonts w:hint="eastAsia" w:ascii="宋体" w:hAnsi="宋体" w:eastAsia="宋体" w:cs="宋体"/>
          <w:b w:val="0"/>
          <w:bCs/>
          <w:color w:val="auto"/>
          <w:kern w:val="0"/>
          <w:sz w:val="24"/>
          <w:szCs w:val="24"/>
          <w:highlight w:val="none"/>
        </w:rPr>
      </w:pPr>
      <w:r>
        <w:rPr>
          <w:rFonts w:hint="eastAsia" w:ascii="宋体" w:hAnsi="宋体" w:cs="宋体"/>
          <w:b w:val="0"/>
          <w:bCs/>
          <w:color w:val="auto"/>
          <w:kern w:val="0"/>
          <w:sz w:val="24"/>
          <w:szCs w:val="24"/>
          <w:highlight w:val="none"/>
          <w:lang w:eastAsia="zh-CN"/>
        </w:rPr>
        <w:t>（</w:t>
      </w:r>
      <w:r>
        <w:rPr>
          <w:rFonts w:hint="eastAsia" w:ascii="宋体" w:hAnsi="宋体" w:cs="宋体"/>
          <w:b w:val="0"/>
          <w:bCs/>
          <w:color w:val="auto"/>
          <w:kern w:val="0"/>
          <w:sz w:val="24"/>
          <w:szCs w:val="24"/>
          <w:highlight w:val="none"/>
          <w:lang w:val="en-US" w:eastAsia="zh-CN"/>
        </w:rPr>
        <w:t>三</w:t>
      </w:r>
      <w:r>
        <w:rPr>
          <w:rFonts w:hint="eastAsia" w:ascii="宋体" w:hAnsi="宋体" w:cs="宋体"/>
          <w:b w:val="0"/>
          <w:bCs/>
          <w:color w:val="auto"/>
          <w:kern w:val="0"/>
          <w:sz w:val="24"/>
          <w:szCs w:val="24"/>
          <w:highlight w:val="none"/>
          <w:lang w:eastAsia="zh-CN"/>
        </w:rPr>
        <w:t>）</w:t>
      </w:r>
      <w:r>
        <w:rPr>
          <w:rFonts w:hint="eastAsia" w:ascii="宋体" w:hAnsi="宋体" w:eastAsia="宋体" w:cs="宋体"/>
          <w:b w:val="0"/>
          <w:bCs/>
          <w:color w:val="auto"/>
          <w:kern w:val="0"/>
          <w:sz w:val="24"/>
          <w:szCs w:val="24"/>
          <w:highlight w:val="none"/>
        </w:rPr>
        <w:t>埋藏风化做旧工艺要求</w:t>
      </w:r>
    </w:p>
    <w:p w14:paraId="7750D34A">
      <w:pPr>
        <w:pageBreakBefore w:val="0"/>
        <w:widowControl/>
        <w:shd w:val="clear" w:color="auto" w:fill="FFFFFF"/>
        <w:kinsoku/>
        <w:wordWrap/>
        <w:overflowPunct/>
        <w:topLinePunct w:val="0"/>
        <w:bidi w:val="0"/>
        <w:adjustRightInd w:val="0"/>
        <w:snapToGrid w:val="0"/>
        <w:spacing w:beforeAutospacing="0" w:afterAutospacing="0" w:line="288" w:lineRule="auto"/>
        <w:ind w:left="238" w:leftChars="85" w:firstLine="480" w:firstLineChars="200"/>
        <w:jc w:val="left"/>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采用古法浸泡、分层做旧、自然阴干等工艺，还原地下埋藏环境形成的土沁、水沁和灰斑，色泽层次丰富、渗透自然。</w:t>
      </w:r>
    </w:p>
    <w:p w14:paraId="05ED626F">
      <w:pPr>
        <w:pageBreakBefore w:val="0"/>
        <w:widowControl/>
        <w:shd w:val="clear" w:color="auto" w:fill="FFFFFF"/>
        <w:kinsoku/>
        <w:wordWrap/>
        <w:overflowPunct/>
        <w:topLinePunct w:val="0"/>
        <w:bidi w:val="0"/>
        <w:adjustRightInd w:val="0"/>
        <w:snapToGrid w:val="0"/>
        <w:spacing w:beforeAutospacing="0" w:afterAutospacing="0" w:line="288" w:lineRule="auto"/>
        <w:ind w:left="238" w:leftChars="85" w:firstLine="480" w:firstLineChars="200"/>
        <w:jc w:val="left"/>
        <w:textAlignment w:val="auto"/>
        <w:rPr>
          <w:rFonts w:hint="eastAsia" w:ascii="宋体" w:hAnsi="宋体" w:eastAsia="宋体" w:cs="宋体"/>
          <w:b w:val="0"/>
          <w:bCs/>
          <w:color w:val="auto"/>
          <w:kern w:val="0"/>
          <w:sz w:val="24"/>
          <w:szCs w:val="24"/>
          <w:highlight w:val="none"/>
        </w:rPr>
      </w:pPr>
      <w:r>
        <w:rPr>
          <w:rFonts w:hint="eastAsia" w:ascii="宋体" w:hAnsi="宋体" w:cs="宋体"/>
          <w:b w:val="0"/>
          <w:bCs/>
          <w:color w:val="auto"/>
          <w:kern w:val="0"/>
          <w:sz w:val="24"/>
          <w:szCs w:val="24"/>
          <w:highlight w:val="none"/>
          <w:lang w:eastAsia="zh-CN"/>
        </w:rPr>
        <w:t>（</w:t>
      </w:r>
      <w:r>
        <w:rPr>
          <w:rFonts w:hint="eastAsia" w:ascii="宋体" w:hAnsi="宋体" w:cs="宋体"/>
          <w:b w:val="0"/>
          <w:bCs/>
          <w:color w:val="auto"/>
          <w:kern w:val="0"/>
          <w:sz w:val="24"/>
          <w:szCs w:val="24"/>
          <w:highlight w:val="none"/>
          <w:lang w:val="en-US" w:eastAsia="zh-CN"/>
        </w:rPr>
        <w:t>四</w:t>
      </w:r>
      <w:r>
        <w:rPr>
          <w:rFonts w:hint="eastAsia" w:ascii="宋体" w:hAnsi="宋体" w:cs="宋体"/>
          <w:b w:val="0"/>
          <w:bCs/>
          <w:color w:val="auto"/>
          <w:kern w:val="0"/>
          <w:sz w:val="24"/>
          <w:szCs w:val="24"/>
          <w:highlight w:val="none"/>
          <w:lang w:eastAsia="zh-CN"/>
        </w:rPr>
        <w:t>）</w:t>
      </w:r>
      <w:r>
        <w:rPr>
          <w:rFonts w:hint="eastAsia" w:ascii="宋体" w:hAnsi="宋体" w:eastAsia="宋体" w:cs="宋体"/>
          <w:b w:val="0"/>
          <w:bCs/>
          <w:color w:val="auto"/>
          <w:kern w:val="0"/>
          <w:sz w:val="24"/>
          <w:szCs w:val="24"/>
          <w:highlight w:val="none"/>
        </w:rPr>
        <w:t>成品稳定性与质量标准</w:t>
      </w:r>
    </w:p>
    <w:p w14:paraId="6483A5E3">
      <w:pPr>
        <w:pageBreakBefore w:val="0"/>
        <w:widowControl/>
        <w:shd w:val="clear" w:color="auto" w:fill="FFFFFF"/>
        <w:kinsoku/>
        <w:wordWrap/>
        <w:overflowPunct/>
        <w:topLinePunct w:val="0"/>
        <w:bidi w:val="0"/>
        <w:adjustRightInd w:val="0"/>
        <w:snapToGrid w:val="0"/>
        <w:spacing w:beforeAutospacing="0" w:afterAutospacing="0" w:line="288" w:lineRule="auto"/>
        <w:ind w:left="238" w:leftChars="85" w:firstLine="480" w:firstLineChars="200"/>
        <w:jc w:val="left"/>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每件仿制木牍需配备独立防护包装，成品经定型、防腐、防潮强化处理，在室内常规展陈环境下，3年内无开裂、翘曲、大面积褪色、掉墨、发霉、虫蛀等质量问题。在隐蔽非展示区域，浅刻规范标识，包含文物复制品、仿制编号、制作年份，具备唯一性、可溯源性。</w:t>
      </w:r>
    </w:p>
    <w:p w14:paraId="452435B5">
      <w:pPr>
        <w:pageBreakBefore w:val="0"/>
        <w:widowControl/>
        <w:shd w:val="clear" w:color="auto" w:fill="FFFFFF"/>
        <w:kinsoku/>
        <w:wordWrap/>
        <w:overflowPunct/>
        <w:topLinePunct w:val="0"/>
        <w:bidi w:val="0"/>
        <w:adjustRightInd w:val="0"/>
        <w:snapToGrid w:val="0"/>
        <w:spacing w:beforeAutospacing="0" w:afterAutospacing="0" w:line="288" w:lineRule="auto"/>
        <w:ind w:left="238" w:leftChars="85" w:firstLine="480" w:firstLineChars="200"/>
        <w:jc w:val="left"/>
        <w:textAlignment w:val="auto"/>
        <w:rPr>
          <w:rFonts w:hint="eastAsia" w:ascii="宋体" w:hAnsi="宋体" w:eastAsia="宋体" w:cs="宋体"/>
          <w:b w:val="0"/>
          <w:bCs/>
          <w:color w:val="auto"/>
          <w:kern w:val="0"/>
          <w:sz w:val="24"/>
          <w:szCs w:val="24"/>
          <w:highlight w:val="none"/>
        </w:rPr>
      </w:pPr>
      <w:r>
        <w:rPr>
          <w:rFonts w:hint="eastAsia" w:ascii="宋体" w:hAnsi="宋体" w:cs="宋体"/>
          <w:b w:val="0"/>
          <w:bCs/>
          <w:color w:val="auto"/>
          <w:kern w:val="0"/>
          <w:sz w:val="24"/>
          <w:szCs w:val="24"/>
          <w:highlight w:val="none"/>
          <w:lang w:eastAsia="zh-CN"/>
        </w:rPr>
        <w:t>（</w:t>
      </w:r>
      <w:r>
        <w:rPr>
          <w:rFonts w:hint="eastAsia" w:ascii="宋体" w:hAnsi="宋体" w:cs="宋体"/>
          <w:b w:val="0"/>
          <w:bCs/>
          <w:color w:val="auto"/>
          <w:kern w:val="0"/>
          <w:sz w:val="24"/>
          <w:szCs w:val="24"/>
          <w:highlight w:val="none"/>
          <w:lang w:val="en-US" w:eastAsia="zh-CN"/>
        </w:rPr>
        <w:t>五</w:t>
      </w:r>
      <w:r>
        <w:rPr>
          <w:rFonts w:hint="eastAsia" w:ascii="宋体" w:hAnsi="宋体" w:cs="宋体"/>
          <w:b w:val="0"/>
          <w:bCs/>
          <w:color w:val="auto"/>
          <w:kern w:val="0"/>
          <w:sz w:val="24"/>
          <w:szCs w:val="24"/>
          <w:highlight w:val="none"/>
          <w:lang w:eastAsia="zh-CN"/>
        </w:rPr>
        <w:t>）</w:t>
      </w:r>
      <w:r>
        <w:rPr>
          <w:rFonts w:hint="eastAsia" w:ascii="宋体" w:hAnsi="宋体" w:eastAsia="宋体" w:cs="宋体"/>
          <w:b w:val="0"/>
          <w:bCs/>
          <w:color w:val="auto"/>
          <w:kern w:val="0"/>
          <w:sz w:val="24"/>
          <w:szCs w:val="24"/>
          <w:highlight w:val="none"/>
        </w:rPr>
        <w:t>验收标准</w:t>
      </w:r>
    </w:p>
    <w:p w14:paraId="158858B5">
      <w:pPr>
        <w:pageBreakBefore w:val="0"/>
        <w:widowControl/>
        <w:shd w:val="clear" w:color="auto" w:fill="FFFFFF"/>
        <w:kinsoku/>
        <w:wordWrap/>
        <w:overflowPunct/>
        <w:topLinePunct w:val="0"/>
        <w:bidi w:val="0"/>
        <w:adjustRightInd w:val="0"/>
        <w:snapToGrid w:val="0"/>
        <w:spacing w:beforeAutospacing="0" w:afterAutospacing="0" w:line="288" w:lineRule="auto"/>
        <w:ind w:left="238" w:leftChars="85" w:firstLine="480" w:firstLineChars="200"/>
        <w:jc w:val="left"/>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形制验收：尺寸、结构、残损形态与出土原件完全一致，误差符合规范；</w:t>
      </w:r>
    </w:p>
    <w:p w14:paraId="7140355C">
      <w:pPr>
        <w:pageBreakBefore w:val="0"/>
        <w:widowControl/>
        <w:shd w:val="clear" w:color="auto" w:fill="FFFFFF"/>
        <w:kinsoku/>
        <w:wordWrap/>
        <w:overflowPunct/>
        <w:topLinePunct w:val="0"/>
        <w:bidi w:val="0"/>
        <w:adjustRightInd w:val="0"/>
        <w:snapToGrid w:val="0"/>
        <w:spacing w:beforeAutospacing="0" w:afterAutospacing="0" w:line="288" w:lineRule="auto"/>
        <w:ind w:left="238" w:leftChars="85" w:firstLine="480" w:firstLineChars="200"/>
        <w:jc w:val="left"/>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材质验收：实木原生材质，预处理合格，无变形、发霉隐患，符合选材标准；</w:t>
      </w:r>
    </w:p>
    <w:p w14:paraId="7A85775C">
      <w:pPr>
        <w:pageBreakBefore w:val="0"/>
        <w:widowControl/>
        <w:shd w:val="clear" w:color="auto" w:fill="FFFFFF"/>
        <w:kinsoku/>
        <w:wordWrap/>
        <w:overflowPunct/>
        <w:topLinePunct w:val="0"/>
        <w:bidi w:val="0"/>
        <w:adjustRightInd w:val="0"/>
        <w:snapToGrid w:val="0"/>
        <w:spacing w:beforeAutospacing="0" w:afterAutospacing="0" w:line="288" w:lineRule="auto"/>
        <w:ind w:left="238" w:leftChars="85" w:firstLine="480" w:firstLineChars="200"/>
        <w:jc w:val="left"/>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文字验收：字形、行款、墨效、残字效果完全贴合考古原件，无文字错误、排版错乱、臆造修改问题；</w:t>
      </w:r>
    </w:p>
    <w:p w14:paraId="01958C60">
      <w:pPr>
        <w:pageBreakBefore w:val="0"/>
        <w:widowControl/>
        <w:shd w:val="clear" w:color="auto" w:fill="FFFFFF"/>
        <w:kinsoku/>
        <w:wordWrap/>
        <w:overflowPunct/>
        <w:topLinePunct w:val="0"/>
        <w:bidi w:val="0"/>
        <w:adjustRightInd w:val="0"/>
        <w:snapToGrid w:val="0"/>
        <w:spacing w:beforeAutospacing="0" w:afterAutospacing="0" w:line="288" w:lineRule="auto"/>
        <w:ind w:left="238" w:leftChars="85" w:firstLine="480" w:firstLineChars="200"/>
        <w:jc w:val="left"/>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做旧验收：风化、沁斑、老化痕迹自然真实；</w:t>
      </w:r>
    </w:p>
    <w:p w14:paraId="1537E2E7">
      <w:pPr>
        <w:pageBreakBefore w:val="0"/>
        <w:widowControl/>
        <w:shd w:val="clear" w:color="auto" w:fill="FFFFFF"/>
        <w:kinsoku/>
        <w:wordWrap/>
        <w:overflowPunct/>
        <w:topLinePunct w:val="0"/>
        <w:bidi w:val="0"/>
        <w:adjustRightInd w:val="0"/>
        <w:snapToGrid w:val="0"/>
        <w:spacing w:beforeAutospacing="0" w:afterAutospacing="0" w:line="288" w:lineRule="auto"/>
        <w:ind w:left="238" w:leftChars="85" w:firstLine="480" w:firstLineChars="200"/>
        <w:jc w:val="left"/>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质量验收：成品结构稳定、工艺精细，无破损、掉墨、瑕疵，满足长期展陈使用需求。</w:t>
      </w:r>
    </w:p>
    <w:p w14:paraId="2347BAFC">
      <w:pPr>
        <w:pageBreakBefore w:val="0"/>
        <w:widowControl/>
        <w:shd w:val="clear" w:color="auto" w:fill="FFFFFF"/>
        <w:kinsoku/>
        <w:wordWrap/>
        <w:overflowPunct/>
        <w:topLinePunct w:val="0"/>
        <w:bidi w:val="0"/>
        <w:adjustRightInd w:val="0"/>
        <w:snapToGrid w:val="0"/>
        <w:spacing w:beforeAutospacing="0" w:afterAutospacing="0" w:line="288" w:lineRule="auto"/>
        <w:ind w:left="238" w:leftChars="85"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四、供应商资格要求</w:t>
      </w:r>
    </w:p>
    <w:p w14:paraId="65C64D58">
      <w:pPr>
        <w:pageBreakBefore w:val="0"/>
        <w:widowControl/>
        <w:shd w:val="clear" w:color="auto" w:fill="FFFFFF"/>
        <w:kinsoku/>
        <w:wordWrap/>
        <w:overflowPunct/>
        <w:topLinePunct w:val="0"/>
        <w:bidi w:val="0"/>
        <w:adjustRightInd w:val="0"/>
        <w:snapToGrid w:val="0"/>
        <w:spacing w:beforeAutospacing="0" w:afterAutospacing="0" w:line="288" w:lineRule="auto"/>
        <w:ind w:firstLine="480" w:firstLineChars="20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1.具有独立承担民事责任能力；</w:t>
      </w:r>
    </w:p>
    <w:p w14:paraId="35DBB21E">
      <w:pPr>
        <w:pageBreakBefore w:val="0"/>
        <w:widowControl/>
        <w:shd w:val="clear" w:color="auto" w:fill="FFFFFF"/>
        <w:kinsoku/>
        <w:wordWrap/>
        <w:overflowPunct/>
        <w:topLinePunct w:val="0"/>
        <w:bidi w:val="0"/>
        <w:adjustRightInd w:val="0"/>
        <w:snapToGrid w:val="0"/>
        <w:spacing w:beforeAutospacing="0" w:afterAutospacing="0" w:line="288" w:lineRule="auto"/>
        <w:ind w:firstLine="480" w:firstLineChars="20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2.具有良好商业信誉；</w:t>
      </w:r>
    </w:p>
    <w:p w14:paraId="1D18BA6F">
      <w:pPr>
        <w:pageBreakBefore w:val="0"/>
        <w:widowControl/>
        <w:shd w:val="clear" w:color="auto" w:fill="FFFFFF"/>
        <w:kinsoku/>
        <w:wordWrap/>
        <w:overflowPunct/>
        <w:topLinePunct w:val="0"/>
        <w:bidi w:val="0"/>
        <w:adjustRightInd w:val="0"/>
        <w:snapToGrid w:val="0"/>
        <w:spacing w:beforeAutospacing="0" w:afterAutospacing="0" w:line="288" w:lineRule="auto"/>
        <w:ind w:firstLine="480" w:firstLineChars="20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3.具有履行合同所必需的设备和专业技术能力；</w:t>
      </w:r>
    </w:p>
    <w:p w14:paraId="6139E488">
      <w:pPr>
        <w:pageBreakBefore w:val="0"/>
        <w:widowControl/>
        <w:shd w:val="clear" w:color="auto" w:fill="FFFFFF"/>
        <w:kinsoku/>
        <w:wordWrap/>
        <w:overflowPunct/>
        <w:topLinePunct w:val="0"/>
        <w:bidi w:val="0"/>
        <w:adjustRightInd w:val="0"/>
        <w:snapToGrid w:val="0"/>
        <w:spacing w:beforeAutospacing="0" w:afterAutospacing="0" w:line="288" w:lineRule="auto"/>
        <w:ind w:firstLine="480" w:firstLineChars="20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4.有依法缴纳税收和社会保障资金的良好记录；</w:t>
      </w:r>
    </w:p>
    <w:p w14:paraId="3FF2808E">
      <w:pPr>
        <w:pageBreakBefore w:val="0"/>
        <w:widowControl/>
        <w:shd w:val="clear" w:color="auto" w:fill="FFFFFF"/>
        <w:kinsoku/>
        <w:wordWrap/>
        <w:overflowPunct/>
        <w:topLinePunct w:val="0"/>
        <w:bidi w:val="0"/>
        <w:adjustRightInd w:val="0"/>
        <w:snapToGrid w:val="0"/>
        <w:spacing w:beforeAutospacing="0" w:afterAutospacing="0" w:line="288" w:lineRule="auto"/>
        <w:ind w:firstLine="480" w:firstLineChars="20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5.参与政府采购活动前三年，在经营过程中无重大违法记录；</w:t>
      </w:r>
    </w:p>
    <w:p w14:paraId="13759B53">
      <w:pPr>
        <w:pageBreakBefore w:val="0"/>
        <w:widowControl/>
        <w:shd w:val="clear" w:color="auto" w:fill="FFFFFF"/>
        <w:kinsoku/>
        <w:wordWrap/>
        <w:overflowPunct/>
        <w:topLinePunct w:val="0"/>
        <w:bidi w:val="0"/>
        <w:adjustRightInd w:val="0"/>
        <w:snapToGrid w:val="0"/>
        <w:spacing w:beforeAutospacing="0" w:afterAutospacing="0" w:line="288" w:lineRule="auto"/>
        <w:ind w:firstLine="480" w:firstLineChars="20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6.法律、行政法规规定的其它条件。</w:t>
      </w:r>
    </w:p>
    <w:p w14:paraId="23FEB0EC">
      <w:pPr>
        <w:pageBreakBefore w:val="0"/>
        <w:widowControl/>
        <w:shd w:val="clear" w:color="auto" w:fill="FFFFFF"/>
        <w:kinsoku/>
        <w:wordWrap/>
        <w:overflowPunct/>
        <w:topLinePunct w:val="0"/>
        <w:bidi w:val="0"/>
        <w:adjustRightInd w:val="0"/>
        <w:snapToGrid w:val="0"/>
        <w:spacing w:beforeAutospacing="0" w:afterAutospacing="0" w:line="288" w:lineRule="auto"/>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五、采购服务约定</w:t>
      </w:r>
    </w:p>
    <w:p w14:paraId="0CCEA9E7">
      <w:pPr>
        <w:pageBreakBefore w:val="0"/>
        <w:widowControl/>
        <w:shd w:val="clear" w:color="auto" w:fill="FFFFFF"/>
        <w:kinsoku/>
        <w:wordWrap/>
        <w:overflowPunct/>
        <w:topLinePunct w:val="0"/>
        <w:bidi w:val="0"/>
        <w:adjustRightInd w:val="0"/>
        <w:snapToGrid w:val="0"/>
        <w:spacing w:beforeAutospacing="0" w:afterAutospacing="0" w:line="288" w:lineRule="auto"/>
        <w:ind w:firstLine="480" w:firstLineChars="200"/>
        <w:jc w:val="left"/>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1.服务周期</w:t>
      </w:r>
    </w:p>
    <w:p w14:paraId="3932A9C7">
      <w:pPr>
        <w:pageBreakBefore w:val="0"/>
        <w:widowControl/>
        <w:shd w:val="clear" w:color="auto" w:fill="FFFFFF"/>
        <w:kinsoku/>
        <w:wordWrap/>
        <w:overflowPunct/>
        <w:topLinePunct w:val="0"/>
        <w:bidi w:val="0"/>
        <w:adjustRightInd w:val="0"/>
        <w:snapToGrid w:val="0"/>
        <w:spacing w:beforeAutospacing="0" w:afterAutospacing="0" w:line="288" w:lineRule="auto"/>
        <w:ind w:firstLine="480" w:firstLineChars="200"/>
        <w:jc w:val="left"/>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合同签订后</w:t>
      </w:r>
      <w:r>
        <w:rPr>
          <w:rFonts w:hint="eastAsia" w:ascii="宋体" w:hAnsi="宋体" w:cs="宋体"/>
          <w:color w:val="auto"/>
          <w:kern w:val="0"/>
          <w:sz w:val="24"/>
          <w:szCs w:val="24"/>
          <w:highlight w:val="none"/>
          <w:lang w:val="en-US" w:eastAsia="zh-CN"/>
        </w:rPr>
        <w:t>90</w:t>
      </w:r>
      <w:r>
        <w:rPr>
          <w:rFonts w:hint="eastAsia" w:ascii="宋体" w:hAnsi="宋体" w:cs="宋体"/>
          <w:color w:val="auto"/>
          <w:kern w:val="0"/>
          <w:sz w:val="24"/>
          <w:szCs w:val="24"/>
          <w:highlight w:val="none"/>
        </w:rPr>
        <w:t>日内完成全部</w:t>
      </w:r>
      <w:r>
        <w:rPr>
          <w:rFonts w:hint="eastAsia" w:ascii="宋体" w:hAnsi="宋体" w:cs="宋体"/>
          <w:color w:val="auto"/>
          <w:kern w:val="0"/>
          <w:sz w:val="24"/>
          <w:szCs w:val="24"/>
          <w:highlight w:val="none"/>
          <w:lang w:val="en-US" w:eastAsia="zh-CN"/>
        </w:rPr>
        <w:t>工作，并</w:t>
      </w:r>
      <w:r>
        <w:rPr>
          <w:rFonts w:hint="eastAsia" w:ascii="宋体" w:hAnsi="宋体" w:cs="宋体"/>
          <w:color w:val="auto"/>
          <w:kern w:val="0"/>
          <w:sz w:val="24"/>
          <w:szCs w:val="24"/>
          <w:highlight w:val="none"/>
        </w:rPr>
        <w:t>通过我院验收。</w:t>
      </w:r>
    </w:p>
    <w:p w14:paraId="7CBCEC0E">
      <w:pPr>
        <w:pageBreakBefore w:val="0"/>
        <w:widowControl/>
        <w:shd w:val="clear" w:color="auto" w:fill="FFFFFF"/>
        <w:kinsoku/>
        <w:wordWrap/>
        <w:overflowPunct/>
        <w:topLinePunct w:val="0"/>
        <w:bidi w:val="0"/>
        <w:adjustRightInd w:val="0"/>
        <w:snapToGrid w:val="0"/>
        <w:spacing w:beforeAutospacing="0" w:afterAutospacing="0" w:line="288" w:lineRule="auto"/>
        <w:ind w:firstLine="480" w:firstLineChars="200"/>
        <w:jc w:val="left"/>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2.服务地点</w:t>
      </w:r>
    </w:p>
    <w:p w14:paraId="178B6C36">
      <w:pPr>
        <w:pageBreakBefore w:val="0"/>
        <w:widowControl/>
        <w:shd w:val="clear" w:color="auto" w:fill="FFFFFF"/>
        <w:kinsoku/>
        <w:wordWrap/>
        <w:overflowPunct/>
        <w:topLinePunct w:val="0"/>
        <w:bidi w:val="0"/>
        <w:adjustRightInd w:val="0"/>
        <w:snapToGrid w:val="0"/>
        <w:spacing w:beforeAutospacing="0" w:afterAutospacing="0" w:line="288" w:lineRule="auto"/>
        <w:ind w:firstLine="480" w:firstLineChars="200"/>
        <w:jc w:val="left"/>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服务地点：</w:t>
      </w:r>
      <w:r>
        <w:rPr>
          <w:rFonts w:hint="eastAsia" w:ascii="宋体" w:hAnsi="宋体" w:cs="宋体"/>
          <w:color w:val="auto"/>
          <w:sz w:val="24"/>
          <w:szCs w:val="24"/>
          <w:highlight w:val="none"/>
        </w:rPr>
        <w:t>我院</w:t>
      </w:r>
      <w:r>
        <w:rPr>
          <w:rFonts w:hint="eastAsia" w:ascii="宋体" w:hAnsi="宋体" w:cs="宋体"/>
          <w:color w:val="auto"/>
          <w:kern w:val="0"/>
          <w:sz w:val="24"/>
          <w:szCs w:val="24"/>
          <w:highlight w:val="none"/>
        </w:rPr>
        <w:t>指定地点。</w:t>
      </w:r>
    </w:p>
    <w:p w14:paraId="262E456A">
      <w:pPr>
        <w:pageBreakBefore w:val="0"/>
        <w:widowControl/>
        <w:shd w:val="clear" w:color="auto" w:fill="FFFFFF"/>
        <w:kinsoku/>
        <w:wordWrap/>
        <w:overflowPunct/>
        <w:topLinePunct w:val="0"/>
        <w:bidi w:val="0"/>
        <w:adjustRightInd w:val="0"/>
        <w:snapToGrid w:val="0"/>
        <w:spacing w:beforeAutospacing="0" w:afterAutospacing="0" w:line="288" w:lineRule="auto"/>
        <w:ind w:firstLine="480" w:firstLineChars="200"/>
        <w:jc w:val="left"/>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3.验收方式：</w:t>
      </w:r>
      <w:bookmarkStart w:id="17" w:name="_GoBack"/>
      <w:bookmarkEnd w:id="17"/>
    </w:p>
    <w:p w14:paraId="680555FD">
      <w:pPr>
        <w:pageBreakBefore w:val="0"/>
        <w:widowControl/>
        <w:shd w:val="clear" w:color="auto" w:fill="FFFFFF"/>
        <w:kinsoku/>
        <w:wordWrap/>
        <w:overflowPunct/>
        <w:topLinePunct w:val="0"/>
        <w:bidi w:val="0"/>
        <w:adjustRightInd w:val="0"/>
        <w:snapToGrid w:val="0"/>
        <w:spacing w:beforeAutospacing="0" w:afterAutospacing="0" w:line="288" w:lineRule="auto"/>
        <w:ind w:firstLine="480" w:firstLineChars="200"/>
        <w:jc w:val="left"/>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通过甲方组织的验收。</w:t>
      </w:r>
    </w:p>
    <w:p w14:paraId="59EA6ED2">
      <w:pPr>
        <w:pageBreakBefore w:val="0"/>
        <w:widowControl/>
        <w:shd w:val="clear" w:color="auto" w:fill="FFFFFF"/>
        <w:kinsoku/>
        <w:wordWrap/>
        <w:overflowPunct/>
        <w:topLinePunct w:val="0"/>
        <w:bidi w:val="0"/>
        <w:adjustRightInd w:val="0"/>
        <w:snapToGrid w:val="0"/>
        <w:spacing w:beforeAutospacing="0" w:afterAutospacing="0" w:line="288" w:lineRule="auto"/>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六、报价要求及成交原则</w:t>
      </w:r>
    </w:p>
    <w:p w14:paraId="217A337F">
      <w:pPr>
        <w:pageBreakBefore w:val="0"/>
        <w:widowControl/>
        <w:shd w:val="clear" w:color="auto" w:fill="FFFFFF"/>
        <w:kinsoku/>
        <w:wordWrap/>
        <w:overflowPunct/>
        <w:topLinePunct w:val="0"/>
        <w:bidi w:val="0"/>
        <w:adjustRightInd w:val="0"/>
        <w:snapToGrid w:val="0"/>
        <w:spacing w:beforeAutospacing="0" w:afterAutospacing="0" w:line="288" w:lineRule="auto"/>
        <w:ind w:firstLine="480" w:firstLineChars="200"/>
        <w:jc w:val="left"/>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1.报价要求：</w:t>
      </w:r>
    </w:p>
    <w:p w14:paraId="017D4925">
      <w:pPr>
        <w:pageBreakBefore w:val="0"/>
        <w:widowControl/>
        <w:shd w:val="clear" w:color="auto" w:fill="FFFFFF"/>
        <w:kinsoku/>
        <w:wordWrap/>
        <w:overflowPunct/>
        <w:topLinePunct w:val="0"/>
        <w:bidi w:val="0"/>
        <w:adjustRightInd w:val="0"/>
        <w:snapToGrid w:val="0"/>
        <w:spacing w:beforeAutospacing="0" w:afterAutospacing="0" w:line="288" w:lineRule="auto"/>
        <w:ind w:firstLine="480" w:firstLineChars="200"/>
        <w:jc w:val="left"/>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本次报价须为人民币报价，包含服务费、工作人员工资、交通运输、后勤用品、技材、不可预见、安全措施、税费、运杂费、保险费、验收、等所有费用。因成交供应商自身原因造成漏报、少报皆由其自行承担责任，</w:t>
      </w:r>
      <w:r>
        <w:rPr>
          <w:rFonts w:hint="eastAsia" w:ascii="宋体" w:hAnsi="宋体" w:cs="宋体"/>
          <w:color w:val="auto"/>
          <w:sz w:val="24"/>
          <w:szCs w:val="24"/>
          <w:highlight w:val="none"/>
        </w:rPr>
        <w:t>我院</w:t>
      </w:r>
      <w:r>
        <w:rPr>
          <w:rFonts w:hint="eastAsia" w:ascii="宋体" w:hAnsi="宋体" w:cs="宋体"/>
          <w:color w:val="auto"/>
          <w:kern w:val="0"/>
          <w:sz w:val="24"/>
          <w:szCs w:val="24"/>
          <w:highlight w:val="none"/>
        </w:rPr>
        <w:t>不再补偿。</w:t>
      </w:r>
    </w:p>
    <w:p w14:paraId="715145BE">
      <w:pPr>
        <w:pageBreakBefore w:val="0"/>
        <w:widowControl/>
        <w:shd w:val="clear" w:color="auto" w:fill="FFFFFF"/>
        <w:kinsoku/>
        <w:wordWrap/>
        <w:overflowPunct/>
        <w:topLinePunct w:val="0"/>
        <w:bidi w:val="0"/>
        <w:adjustRightInd w:val="0"/>
        <w:snapToGrid w:val="0"/>
        <w:spacing w:beforeAutospacing="0" w:afterAutospacing="0" w:line="288" w:lineRule="auto"/>
        <w:ind w:firstLine="480" w:firstLineChars="200"/>
        <w:jc w:val="left"/>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2.成交原则</w:t>
      </w:r>
    </w:p>
    <w:p w14:paraId="5C75E869">
      <w:pPr>
        <w:pageBreakBefore w:val="0"/>
        <w:widowControl/>
        <w:shd w:val="clear" w:color="auto" w:fill="FFFFFF"/>
        <w:kinsoku/>
        <w:wordWrap/>
        <w:overflowPunct/>
        <w:topLinePunct w:val="0"/>
        <w:bidi w:val="0"/>
        <w:adjustRightInd w:val="0"/>
        <w:snapToGrid w:val="0"/>
        <w:spacing w:beforeAutospacing="0" w:afterAutospacing="0" w:line="288" w:lineRule="auto"/>
        <w:ind w:firstLine="480" w:firstLineChars="200"/>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在符合本次采购要求、质量和服务的前提下，按</w:t>
      </w:r>
      <w:r>
        <w:rPr>
          <w:rFonts w:hint="eastAsia" w:ascii="宋体" w:hAnsi="宋体" w:cs="宋体"/>
          <w:color w:val="auto"/>
          <w:sz w:val="24"/>
          <w:szCs w:val="24"/>
          <w:highlight w:val="none"/>
          <w:lang w:val="en-US" w:eastAsia="zh-CN"/>
        </w:rPr>
        <w:t>综合评分</w:t>
      </w:r>
      <w:r>
        <w:rPr>
          <w:rFonts w:hint="eastAsia" w:ascii="宋体" w:hAnsi="宋体" w:cs="宋体"/>
          <w:color w:val="auto"/>
          <w:sz w:val="24"/>
          <w:szCs w:val="24"/>
          <w:highlight w:val="none"/>
        </w:rPr>
        <w:t>法确定成交供应商。</w:t>
      </w:r>
    </w:p>
    <w:p w14:paraId="10F7485B">
      <w:pPr>
        <w:pStyle w:val="25"/>
        <w:pageBreakBefore w:val="0"/>
        <w:kinsoku/>
        <w:wordWrap/>
        <w:overflowPunct/>
        <w:topLinePunct w:val="0"/>
        <w:bidi w:val="0"/>
        <w:adjustRightInd w:val="0"/>
        <w:snapToGrid w:val="0"/>
        <w:spacing w:beforeAutospacing="0" w:afterAutospacing="0" w:line="288" w:lineRule="auto"/>
        <w:ind w:firstLine="480" w:firstLineChars="200"/>
        <w:textAlignment w:val="auto"/>
        <w:rPr>
          <w:rFonts w:hint="eastAsia" w:hAnsi="宋体" w:cs="宋体"/>
          <w:color w:val="auto"/>
          <w:sz w:val="24"/>
          <w:szCs w:val="24"/>
          <w:highlight w:val="none"/>
          <w:lang w:val="en-US" w:eastAsia="zh-CN"/>
        </w:rPr>
      </w:pPr>
      <w:r>
        <w:rPr>
          <w:rFonts w:hint="eastAsia" w:hAnsi="宋体" w:cs="宋体"/>
          <w:color w:val="auto"/>
          <w:sz w:val="24"/>
          <w:szCs w:val="24"/>
          <w:highlight w:val="none"/>
          <w:lang w:val="en-US" w:eastAsia="zh-CN"/>
        </w:rPr>
        <w:t>3.评审标准</w:t>
      </w:r>
    </w:p>
    <w:p w14:paraId="533E5494">
      <w:pPr>
        <w:pageBreakBefore w:val="0"/>
        <w:kinsoku/>
        <w:wordWrap/>
        <w:overflowPunct/>
        <w:topLinePunct w:val="0"/>
        <w:bidi w:val="0"/>
        <w:adjustRightInd w:val="0"/>
        <w:snapToGrid w:val="0"/>
        <w:spacing w:beforeAutospacing="0" w:afterAutospacing="0" w:line="288" w:lineRule="auto"/>
        <w:textAlignment w:val="auto"/>
        <w:rPr>
          <w:rFonts w:hint="eastAsia" w:hAnsi="宋体" w:cs="宋体"/>
          <w:color w:val="auto"/>
          <w:sz w:val="24"/>
          <w:szCs w:val="24"/>
          <w:highlight w:val="none"/>
          <w:lang w:val="en-US" w:eastAsia="zh-CN"/>
        </w:rPr>
      </w:pPr>
    </w:p>
    <w:tbl>
      <w:tblPr>
        <w:tblStyle w:val="14"/>
        <w:tblW w:w="475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2"/>
        <w:gridCol w:w="1155"/>
        <w:gridCol w:w="676"/>
        <w:gridCol w:w="3614"/>
        <w:gridCol w:w="2811"/>
      </w:tblGrid>
      <w:tr w14:paraId="2D6F7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522" w:type="dxa"/>
            <w:vAlign w:val="center"/>
          </w:tcPr>
          <w:p w14:paraId="50A30175">
            <w:pPr>
              <w:pageBreakBefore w:val="0"/>
              <w:kinsoku/>
              <w:wordWrap/>
              <w:overflowPunct/>
              <w:topLinePunct w:val="0"/>
              <w:bidi w:val="0"/>
              <w:adjustRightInd w:val="0"/>
              <w:snapToGrid w:val="0"/>
              <w:spacing w:beforeAutospacing="0" w:afterAutospacing="0" w:line="288" w:lineRule="auto"/>
              <w:ind w:firstLine="28"/>
              <w:jc w:val="center"/>
              <w:textAlignment w:val="auto"/>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序号</w:t>
            </w:r>
          </w:p>
        </w:tc>
        <w:tc>
          <w:tcPr>
            <w:tcW w:w="1155" w:type="dxa"/>
            <w:vAlign w:val="center"/>
          </w:tcPr>
          <w:p w14:paraId="2BBB4596">
            <w:pPr>
              <w:pageBreakBefore w:val="0"/>
              <w:kinsoku/>
              <w:wordWrap/>
              <w:overflowPunct/>
              <w:topLinePunct w:val="0"/>
              <w:bidi w:val="0"/>
              <w:adjustRightInd w:val="0"/>
              <w:snapToGrid w:val="0"/>
              <w:spacing w:beforeAutospacing="0" w:afterAutospacing="0" w:line="288" w:lineRule="auto"/>
              <w:ind w:firstLine="28"/>
              <w:jc w:val="center"/>
              <w:textAlignment w:val="auto"/>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评分因素及权值</w:t>
            </w:r>
          </w:p>
        </w:tc>
        <w:tc>
          <w:tcPr>
            <w:tcW w:w="676" w:type="dxa"/>
            <w:vAlign w:val="center"/>
          </w:tcPr>
          <w:p w14:paraId="647D5A4D">
            <w:pPr>
              <w:pageBreakBefore w:val="0"/>
              <w:kinsoku/>
              <w:wordWrap/>
              <w:overflowPunct/>
              <w:topLinePunct w:val="0"/>
              <w:bidi w:val="0"/>
              <w:adjustRightInd w:val="0"/>
              <w:snapToGrid w:val="0"/>
              <w:spacing w:beforeAutospacing="0" w:afterAutospacing="0" w:line="288" w:lineRule="auto"/>
              <w:ind w:firstLine="28"/>
              <w:jc w:val="center"/>
              <w:textAlignment w:val="auto"/>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分值</w:t>
            </w:r>
          </w:p>
        </w:tc>
        <w:tc>
          <w:tcPr>
            <w:tcW w:w="3614" w:type="dxa"/>
            <w:vAlign w:val="center"/>
          </w:tcPr>
          <w:p w14:paraId="630F00D6">
            <w:pPr>
              <w:pageBreakBefore w:val="0"/>
              <w:kinsoku/>
              <w:wordWrap/>
              <w:overflowPunct/>
              <w:topLinePunct w:val="0"/>
              <w:bidi w:val="0"/>
              <w:adjustRightInd w:val="0"/>
              <w:snapToGrid w:val="0"/>
              <w:spacing w:beforeAutospacing="0" w:afterAutospacing="0" w:line="288" w:lineRule="auto"/>
              <w:ind w:firstLine="28"/>
              <w:jc w:val="center"/>
              <w:textAlignment w:val="auto"/>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评分标准</w:t>
            </w:r>
          </w:p>
        </w:tc>
        <w:tc>
          <w:tcPr>
            <w:tcW w:w="2811" w:type="dxa"/>
            <w:vAlign w:val="center"/>
          </w:tcPr>
          <w:p w14:paraId="6A04A898">
            <w:pPr>
              <w:pageBreakBefore w:val="0"/>
              <w:kinsoku/>
              <w:wordWrap/>
              <w:overflowPunct/>
              <w:topLinePunct w:val="0"/>
              <w:bidi w:val="0"/>
              <w:adjustRightInd w:val="0"/>
              <w:snapToGrid w:val="0"/>
              <w:spacing w:beforeAutospacing="0" w:afterAutospacing="0" w:line="288" w:lineRule="auto"/>
              <w:ind w:firstLine="28"/>
              <w:jc w:val="center"/>
              <w:textAlignment w:val="auto"/>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说明</w:t>
            </w:r>
          </w:p>
        </w:tc>
      </w:tr>
      <w:tr w14:paraId="62C95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522" w:type="dxa"/>
            <w:vAlign w:val="center"/>
          </w:tcPr>
          <w:p w14:paraId="77DDAB66">
            <w:pPr>
              <w:pageBreakBefore w:val="0"/>
              <w:kinsoku/>
              <w:wordWrap/>
              <w:overflowPunct/>
              <w:topLinePunct w:val="0"/>
              <w:bidi w:val="0"/>
              <w:adjustRightInd w:val="0"/>
              <w:snapToGrid w:val="0"/>
              <w:spacing w:beforeAutospacing="0" w:afterAutospacing="0" w:line="288" w:lineRule="auto"/>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1155" w:type="dxa"/>
            <w:vAlign w:val="center"/>
          </w:tcPr>
          <w:p w14:paraId="14DED634">
            <w:pPr>
              <w:pageBreakBefore w:val="0"/>
              <w:kinsoku/>
              <w:wordWrap/>
              <w:overflowPunct/>
              <w:topLinePunct w:val="0"/>
              <w:bidi w:val="0"/>
              <w:adjustRightInd w:val="0"/>
              <w:snapToGrid w:val="0"/>
              <w:spacing w:beforeAutospacing="0" w:afterAutospacing="0" w:line="288" w:lineRule="auto"/>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磋商报价（</w:t>
            </w: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0%）</w:t>
            </w:r>
          </w:p>
        </w:tc>
        <w:tc>
          <w:tcPr>
            <w:tcW w:w="676" w:type="dxa"/>
            <w:vAlign w:val="center"/>
          </w:tcPr>
          <w:p w14:paraId="1652D881">
            <w:pPr>
              <w:pageBreakBefore w:val="0"/>
              <w:kinsoku/>
              <w:wordWrap/>
              <w:overflowPunct/>
              <w:topLinePunct w:val="0"/>
              <w:bidi w:val="0"/>
              <w:adjustRightInd w:val="0"/>
              <w:snapToGrid w:val="0"/>
              <w:spacing w:beforeAutospacing="0" w:afterAutospacing="0" w:line="288" w:lineRule="auto"/>
              <w:ind w:firstLine="28"/>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0分</w:t>
            </w:r>
          </w:p>
        </w:tc>
        <w:tc>
          <w:tcPr>
            <w:tcW w:w="3614" w:type="dxa"/>
            <w:vAlign w:val="center"/>
          </w:tcPr>
          <w:p w14:paraId="3595F7D6">
            <w:pPr>
              <w:pageBreakBefore w:val="0"/>
              <w:kinsoku/>
              <w:wordWrap/>
              <w:overflowPunct/>
              <w:topLinePunct w:val="0"/>
              <w:bidi w:val="0"/>
              <w:adjustRightInd w:val="0"/>
              <w:snapToGrid w:val="0"/>
              <w:spacing w:beforeAutospacing="0" w:afterAutospacing="0" w:line="288" w:lineRule="auto"/>
              <w:ind w:firstLine="420" w:firstLineChars="200"/>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满足资格性、符合性要求且最后报价最低的供应商的价格为磋商基准价，其价格分为满分。其他供应商的价格分统一按照下列公式计算每个供应商的报价得分。</w:t>
            </w:r>
          </w:p>
          <w:p w14:paraId="61959FA1">
            <w:pPr>
              <w:pageBreakBefore w:val="0"/>
              <w:kinsoku/>
              <w:wordWrap/>
              <w:overflowPunct/>
              <w:topLinePunct w:val="0"/>
              <w:bidi w:val="0"/>
              <w:adjustRightInd w:val="0"/>
              <w:snapToGrid w:val="0"/>
              <w:spacing w:beforeAutospacing="0" w:afterAutospacing="0" w:line="288" w:lineRule="auto"/>
              <w:ind w:firstLine="420" w:firstLineChars="200"/>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磋商报价得分=（磋商基准价/最后磋商报价）×价格权值×100</w:t>
            </w:r>
          </w:p>
        </w:tc>
        <w:tc>
          <w:tcPr>
            <w:tcW w:w="2811" w:type="dxa"/>
            <w:vAlign w:val="center"/>
          </w:tcPr>
          <w:p w14:paraId="71C80D6B">
            <w:pPr>
              <w:pageBreakBefore w:val="0"/>
              <w:kinsoku/>
              <w:wordWrap/>
              <w:overflowPunct/>
              <w:topLinePunct w:val="0"/>
              <w:bidi w:val="0"/>
              <w:adjustRightInd w:val="0"/>
              <w:snapToGrid w:val="0"/>
              <w:spacing w:beforeAutospacing="0" w:afterAutospacing="0" w:line="288" w:lineRule="auto"/>
              <w:ind w:firstLine="28"/>
              <w:jc w:val="both"/>
              <w:textAlignment w:val="auto"/>
              <w:rPr>
                <w:rFonts w:hint="eastAsia" w:asciiTheme="minorEastAsia" w:hAnsiTheme="minorEastAsia" w:eastAsiaTheme="minorEastAsia" w:cstheme="minorEastAsia"/>
                <w:color w:val="auto"/>
                <w:sz w:val="21"/>
                <w:szCs w:val="21"/>
                <w:highlight w:val="none"/>
              </w:rPr>
            </w:pPr>
          </w:p>
        </w:tc>
      </w:tr>
      <w:tr w14:paraId="0E61D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6" w:hRule="atLeast"/>
          <w:jc w:val="center"/>
        </w:trPr>
        <w:tc>
          <w:tcPr>
            <w:tcW w:w="522" w:type="dxa"/>
            <w:vMerge w:val="restart"/>
            <w:shd w:val="clear" w:color="auto" w:fill="auto"/>
            <w:vAlign w:val="center"/>
          </w:tcPr>
          <w:p w14:paraId="3ADCE2E8">
            <w:pPr>
              <w:pageBreakBefore w:val="0"/>
              <w:kinsoku/>
              <w:wordWrap/>
              <w:overflowPunct/>
              <w:topLinePunct w:val="0"/>
              <w:bidi w:val="0"/>
              <w:adjustRightInd w:val="0"/>
              <w:snapToGrid w:val="0"/>
              <w:spacing w:beforeAutospacing="0" w:afterAutospacing="0" w:line="288" w:lineRule="auto"/>
              <w:jc w:val="both"/>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2</w:t>
            </w:r>
          </w:p>
        </w:tc>
        <w:tc>
          <w:tcPr>
            <w:tcW w:w="1155" w:type="dxa"/>
            <w:vMerge w:val="restart"/>
            <w:shd w:val="clear" w:color="auto" w:fill="auto"/>
            <w:vAlign w:val="center"/>
          </w:tcPr>
          <w:p w14:paraId="4364A43F">
            <w:pPr>
              <w:pageBreakBefore w:val="0"/>
              <w:kinsoku/>
              <w:wordWrap/>
              <w:overflowPunct/>
              <w:topLinePunct w:val="0"/>
              <w:bidi w:val="0"/>
              <w:adjustRightInd w:val="0"/>
              <w:snapToGrid w:val="0"/>
              <w:spacing w:beforeAutospacing="0" w:afterAutospacing="0" w:line="288" w:lineRule="auto"/>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服务部分</w:t>
            </w:r>
          </w:p>
          <w:p w14:paraId="4173216E">
            <w:pPr>
              <w:pageBreakBefore w:val="0"/>
              <w:kinsoku/>
              <w:wordWrap/>
              <w:overflowPunct/>
              <w:topLinePunct w:val="0"/>
              <w:bidi w:val="0"/>
              <w:adjustRightInd w:val="0"/>
              <w:snapToGrid w:val="0"/>
              <w:spacing w:beforeAutospacing="0" w:afterAutospacing="0" w:line="288" w:lineRule="auto"/>
              <w:jc w:val="both"/>
              <w:textAlignment w:val="auto"/>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50</w:t>
            </w:r>
            <w:r>
              <w:rPr>
                <w:rFonts w:hint="eastAsia" w:asciiTheme="minorEastAsia" w:hAnsiTheme="minorEastAsia" w:eastAsiaTheme="minorEastAsia" w:cstheme="minorEastAsia"/>
                <w:color w:val="auto"/>
                <w:sz w:val="21"/>
                <w:szCs w:val="21"/>
                <w:highlight w:val="none"/>
              </w:rPr>
              <w:t>）</w:t>
            </w:r>
          </w:p>
        </w:tc>
        <w:tc>
          <w:tcPr>
            <w:tcW w:w="676" w:type="dxa"/>
            <w:shd w:val="clear" w:color="auto" w:fill="auto"/>
            <w:vAlign w:val="center"/>
          </w:tcPr>
          <w:p w14:paraId="318EB503">
            <w:pPr>
              <w:keepNext w:val="0"/>
              <w:keepLines w:val="0"/>
              <w:pageBreakBefore w:val="0"/>
              <w:widowControl w:val="0"/>
              <w:kinsoku/>
              <w:wordWrap/>
              <w:overflowPunct/>
              <w:topLinePunct w:val="0"/>
              <w:autoSpaceDE/>
              <w:autoSpaceDN/>
              <w:bidi w:val="0"/>
              <w:adjustRightInd w:val="0"/>
              <w:snapToGrid/>
              <w:ind w:firstLine="0" w:firstLineChars="0"/>
              <w:jc w:val="center"/>
              <w:textAlignment w:val="auto"/>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服务方案</w:t>
            </w:r>
          </w:p>
          <w:p w14:paraId="29A6C4FE">
            <w:pPr>
              <w:keepNext w:val="0"/>
              <w:keepLines w:val="0"/>
              <w:pageBreakBefore w:val="0"/>
              <w:widowControl w:val="0"/>
              <w:kinsoku/>
              <w:wordWrap/>
              <w:overflowPunct/>
              <w:topLinePunct w:val="0"/>
              <w:autoSpaceDE/>
              <w:autoSpaceDN/>
              <w:bidi w:val="0"/>
              <w:adjustRightInd w:val="0"/>
              <w:snapToGrid/>
              <w:ind w:firstLine="0" w:firstLineChars="0"/>
              <w:jc w:val="center"/>
              <w:textAlignment w:val="auto"/>
              <w:rPr>
                <w:rFonts w:hint="default"/>
                <w:color w:val="auto"/>
                <w:sz w:val="21"/>
                <w:szCs w:val="21"/>
                <w:lang w:val="en-US" w:eastAsia="zh-CN"/>
              </w:rPr>
            </w:pPr>
            <w:r>
              <w:rPr>
                <w:rFonts w:hint="eastAsia" w:ascii="宋体" w:hAnsi="宋体" w:cs="宋体"/>
                <w:b w:val="0"/>
                <w:bCs w:val="0"/>
                <w:color w:val="auto"/>
                <w:sz w:val="21"/>
                <w:szCs w:val="21"/>
                <w:highlight w:val="none"/>
                <w:lang w:val="en-US" w:eastAsia="zh-CN"/>
              </w:rPr>
              <w:t>（30分）</w:t>
            </w:r>
          </w:p>
        </w:tc>
        <w:tc>
          <w:tcPr>
            <w:tcW w:w="3614" w:type="dxa"/>
            <w:shd w:val="clear" w:color="auto" w:fill="auto"/>
            <w:vAlign w:val="center"/>
          </w:tcPr>
          <w:p w14:paraId="06AD8E0A">
            <w:pPr>
              <w:ind w:firstLine="420" w:firstLineChars="20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供应商提供针对本项目的服务内容和服务要求提供重点和难点分析，</w:t>
            </w:r>
            <w:r>
              <w:rPr>
                <w:rFonts w:hint="eastAsia" w:ascii="宋体" w:hAnsi="宋体" w:eastAsia="宋体" w:cs="宋体"/>
                <w:color w:val="auto"/>
                <w:sz w:val="21"/>
                <w:szCs w:val="21"/>
                <w:highlight w:val="none"/>
                <w:lang w:val="en-US" w:eastAsia="zh-CN"/>
              </w:rPr>
              <w:t>包含复刻制作、成果评估与总结等</w:t>
            </w:r>
            <w:r>
              <w:rPr>
                <w:rFonts w:hint="eastAsia" w:ascii="宋体" w:hAnsi="宋体" w:cs="宋体"/>
                <w:color w:val="auto"/>
                <w:sz w:val="21"/>
                <w:szCs w:val="21"/>
                <w:highlight w:val="none"/>
                <w:lang w:val="en-US" w:eastAsia="zh-CN"/>
              </w:rPr>
              <w:t>。</w:t>
            </w:r>
          </w:p>
          <w:p w14:paraId="6EEECCE5">
            <w:pPr>
              <w:ind w:firstLine="420" w:firstLineChars="200"/>
              <w:rPr>
                <w:rFonts w:hint="default"/>
                <w:color w:val="auto"/>
                <w:sz w:val="21"/>
                <w:szCs w:val="21"/>
                <w:lang w:val="en-US" w:eastAsia="zh-CN"/>
              </w:rPr>
            </w:pPr>
            <w:r>
              <w:rPr>
                <w:rFonts w:hint="eastAsia" w:ascii="宋体" w:hAnsi="宋体" w:cs="宋体"/>
                <w:color w:val="auto"/>
                <w:sz w:val="21"/>
                <w:szCs w:val="21"/>
                <w:highlight w:val="none"/>
              </w:rPr>
              <w:t>阐述内容包含上述所有内容，且对各项内容均进行描述的基础上，内容不存在瑕疵得</w:t>
            </w:r>
            <w:r>
              <w:rPr>
                <w:rFonts w:hint="eastAsia" w:ascii="宋体" w:hAnsi="宋体" w:cs="宋体"/>
                <w:color w:val="auto"/>
                <w:sz w:val="21"/>
                <w:szCs w:val="21"/>
                <w:highlight w:val="none"/>
                <w:lang w:val="en-US" w:eastAsia="zh-CN"/>
              </w:rPr>
              <w:t>30</w:t>
            </w:r>
            <w:r>
              <w:rPr>
                <w:rFonts w:hint="eastAsia" w:ascii="宋体" w:hAnsi="宋体" w:cs="宋体"/>
                <w:color w:val="auto"/>
                <w:sz w:val="21"/>
                <w:szCs w:val="21"/>
                <w:highlight w:val="none"/>
              </w:rPr>
              <w:t>分；方案内容存在1处瑕疵扣</w:t>
            </w: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分；本项分扣完为止。</w:t>
            </w:r>
          </w:p>
        </w:tc>
        <w:tc>
          <w:tcPr>
            <w:tcW w:w="2811" w:type="dxa"/>
            <w:vMerge w:val="restart"/>
            <w:shd w:val="clear" w:color="auto" w:fill="auto"/>
            <w:vAlign w:val="center"/>
          </w:tcPr>
          <w:p w14:paraId="44E01592">
            <w:pPr>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eastAsia" w:ascii="宋体" w:hAnsi="宋体" w:cs="宋体"/>
                <w:strike w:val="0"/>
                <w:color w:val="auto"/>
                <w:sz w:val="21"/>
                <w:szCs w:val="21"/>
                <w:highlight w:val="none"/>
              </w:rPr>
            </w:pPr>
            <w:r>
              <w:rPr>
                <w:rFonts w:hint="eastAsia" w:ascii="宋体" w:hAnsi="宋体" w:cs="宋体"/>
                <w:strike w:val="0"/>
                <w:color w:val="auto"/>
                <w:sz w:val="21"/>
                <w:szCs w:val="21"/>
                <w:highlight w:val="none"/>
              </w:rPr>
              <w:t>供应商提供方案，格式自拟。</w:t>
            </w:r>
          </w:p>
          <w:p w14:paraId="6689A2E6">
            <w:pPr>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eastAsia" w:ascii="宋体" w:hAnsi="宋体" w:cs="宋体"/>
                <w:strike w:val="0"/>
                <w:color w:val="auto"/>
                <w:sz w:val="21"/>
                <w:szCs w:val="21"/>
                <w:highlight w:val="none"/>
              </w:rPr>
            </w:pPr>
            <w:r>
              <w:rPr>
                <w:rFonts w:hint="eastAsia" w:ascii="宋体" w:hAnsi="宋体" w:cs="宋体"/>
                <w:strike w:val="0"/>
                <w:color w:val="auto"/>
                <w:sz w:val="21"/>
                <w:szCs w:val="21"/>
                <w:highlight w:val="none"/>
              </w:rPr>
              <w:t>注：本项内容中所称的“瑕疵”：</w:t>
            </w:r>
          </w:p>
          <w:p w14:paraId="51FC3735">
            <w:pPr>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eastAsia" w:ascii="宋体" w:hAnsi="宋体" w:cs="宋体"/>
                <w:strike w:val="0"/>
                <w:color w:val="auto"/>
                <w:sz w:val="21"/>
                <w:szCs w:val="21"/>
                <w:highlight w:val="none"/>
              </w:rPr>
            </w:pPr>
            <w:r>
              <w:rPr>
                <w:rFonts w:hint="eastAsia" w:ascii="宋体" w:hAnsi="宋体" w:cs="宋体"/>
                <w:strike w:val="0"/>
                <w:color w:val="auto"/>
                <w:sz w:val="21"/>
                <w:szCs w:val="21"/>
                <w:highlight w:val="none"/>
              </w:rPr>
              <w:t>1.内容表述不完整或缺少关键分析点；</w:t>
            </w:r>
          </w:p>
          <w:p w14:paraId="0D20C958">
            <w:pPr>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eastAsia" w:ascii="宋体" w:hAnsi="宋体" w:cs="宋体"/>
                <w:strike w:val="0"/>
                <w:color w:val="auto"/>
                <w:sz w:val="21"/>
                <w:szCs w:val="21"/>
                <w:highlight w:val="none"/>
              </w:rPr>
            </w:pPr>
            <w:r>
              <w:rPr>
                <w:rFonts w:hint="eastAsia" w:ascii="宋体" w:hAnsi="宋体" w:cs="宋体"/>
                <w:strike w:val="0"/>
                <w:color w:val="auto"/>
                <w:sz w:val="21"/>
                <w:szCs w:val="21"/>
                <w:highlight w:val="none"/>
              </w:rPr>
              <w:t>2.方案及措施不科学、不合理的方案；</w:t>
            </w:r>
          </w:p>
          <w:p w14:paraId="60F1A3D2">
            <w:pPr>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eastAsia" w:ascii="宋体" w:hAnsi="宋体" w:cs="宋体"/>
                <w:strike w:val="0"/>
                <w:color w:val="auto"/>
                <w:sz w:val="21"/>
                <w:szCs w:val="21"/>
                <w:highlight w:val="none"/>
              </w:rPr>
            </w:pPr>
            <w:r>
              <w:rPr>
                <w:rFonts w:hint="eastAsia" w:ascii="宋体" w:hAnsi="宋体" w:cs="宋体"/>
                <w:strike w:val="0"/>
                <w:color w:val="auto"/>
                <w:sz w:val="21"/>
                <w:szCs w:val="21"/>
                <w:highlight w:val="none"/>
              </w:rPr>
              <w:t>3.内容表述前后矛盾、无连贯性、内容存在逻辑漏洞；</w:t>
            </w:r>
          </w:p>
          <w:p w14:paraId="3AC0BD08">
            <w:pPr>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eastAsia" w:ascii="宋体" w:hAnsi="宋体" w:cs="宋体"/>
                <w:strike w:val="0"/>
                <w:color w:val="auto"/>
                <w:sz w:val="21"/>
                <w:szCs w:val="21"/>
                <w:highlight w:val="none"/>
              </w:rPr>
            </w:pPr>
            <w:r>
              <w:rPr>
                <w:rFonts w:hint="eastAsia" w:ascii="宋体" w:hAnsi="宋体" w:cs="宋体"/>
                <w:strike w:val="0"/>
                <w:color w:val="auto"/>
                <w:sz w:val="21"/>
                <w:szCs w:val="21"/>
                <w:highlight w:val="none"/>
              </w:rPr>
              <w:t>4.常规性错误；</w:t>
            </w:r>
          </w:p>
          <w:p w14:paraId="4F39F31A">
            <w:pPr>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eastAsia" w:ascii="宋体" w:hAnsi="宋体" w:cs="宋体"/>
                <w:strike w:val="0"/>
                <w:color w:val="auto"/>
                <w:sz w:val="21"/>
                <w:szCs w:val="21"/>
                <w:highlight w:val="none"/>
              </w:rPr>
            </w:pPr>
            <w:r>
              <w:rPr>
                <w:rFonts w:hint="eastAsia" w:ascii="宋体" w:hAnsi="宋体" w:cs="宋体"/>
                <w:strike w:val="0"/>
                <w:color w:val="auto"/>
                <w:sz w:val="21"/>
                <w:szCs w:val="21"/>
                <w:highlight w:val="none"/>
              </w:rPr>
              <w:t>5.技术措施保障安排并不适用本项目特性或非专门针对本项目制定；</w:t>
            </w:r>
          </w:p>
          <w:p w14:paraId="40281D6E">
            <w:pPr>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eastAsia" w:ascii="宋体" w:hAnsi="宋体" w:cs="宋体"/>
                <w:strike w:val="0"/>
                <w:color w:val="auto"/>
                <w:sz w:val="21"/>
                <w:szCs w:val="21"/>
                <w:highlight w:val="none"/>
              </w:rPr>
            </w:pPr>
            <w:r>
              <w:rPr>
                <w:rFonts w:hint="eastAsia" w:ascii="宋体" w:hAnsi="宋体" w:cs="宋体"/>
                <w:strike w:val="0"/>
                <w:color w:val="auto"/>
                <w:sz w:val="21"/>
                <w:szCs w:val="21"/>
                <w:highlight w:val="none"/>
              </w:rPr>
              <w:t>6.方案中提出的措施举措不利于本项目目标的实现；</w:t>
            </w:r>
          </w:p>
          <w:p w14:paraId="41A76E76">
            <w:pPr>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eastAsia"/>
                <w:color w:val="auto"/>
                <w:sz w:val="21"/>
                <w:szCs w:val="21"/>
                <w:lang w:val="en-US" w:eastAsia="zh-CN"/>
              </w:rPr>
            </w:pPr>
            <w:r>
              <w:rPr>
                <w:rFonts w:hint="eastAsia" w:ascii="宋体" w:hAnsi="宋体" w:cs="宋体"/>
                <w:strike w:val="0"/>
                <w:color w:val="auto"/>
                <w:sz w:val="21"/>
                <w:szCs w:val="21"/>
                <w:highlight w:val="none"/>
              </w:rPr>
              <w:t>方案中任一处出现</w:t>
            </w:r>
            <w:r>
              <w:rPr>
                <w:rFonts w:hint="eastAsia" w:ascii="宋体" w:hAnsi="宋体" w:cs="宋体"/>
                <w:strike w:val="0"/>
                <w:color w:val="auto"/>
                <w:sz w:val="21"/>
                <w:szCs w:val="21"/>
                <w:highlight w:val="none"/>
                <w:lang w:eastAsia="zh-CN"/>
              </w:rPr>
              <w:t>上述</w:t>
            </w:r>
            <w:r>
              <w:rPr>
                <w:rFonts w:hint="eastAsia" w:ascii="宋体" w:hAnsi="宋体" w:cs="宋体"/>
                <w:strike w:val="0"/>
                <w:color w:val="auto"/>
                <w:sz w:val="21"/>
                <w:szCs w:val="21"/>
                <w:highlight w:val="none"/>
              </w:rPr>
              <w:t>任意一种情形为1处瑕疵。</w:t>
            </w:r>
          </w:p>
        </w:tc>
      </w:tr>
      <w:tr w14:paraId="1463C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8" w:hRule="atLeast"/>
          <w:jc w:val="center"/>
        </w:trPr>
        <w:tc>
          <w:tcPr>
            <w:tcW w:w="522" w:type="dxa"/>
            <w:vMerge w:val="continue"/>
            <w:vAlign w:val="center"/>
          </w:tcPr>
          <w:p w14:paraId="49453EE3">
            <w:pPr>
              <w:pageBreakBefore w:val="0"/>
              <w:kinsoku/>
              <w:wordWrap/>
              <w:overflowPunct/>
              <w:topLinePunct w:val="0"/>
              <w:bidi w:val="0"/>
              <w:adjustRightInd w:val="0"/>
              <w:snapToGrid w:val="0"/>
              <w:spacing w:beforeAutospacing="0" w:afterAutospacing="0" w:line="288" w:lineRule="auto"/>
              <w:ind w:firstLine="420" w:firstLineChars="200"/>
              <w:jc w:val="both"/>
              <w:textAlignment w:val="auto"/>
              <w:rPr>
                <w:rFonts w:hint="eastAsia" w:asciiTheme="minorEastAsia" w:hAnsiTheme="minorEastAsia" w:eastAsiaTheme="minorEastAsia" w:cstheme="minorEastAsia"/>
                <w:color w:val="auto"/>
                <w:sz w:val="21"/>
                <w:szCs w:val="21"/>
                <w:highlight w:val="none"/>
                <w:lang w:val="en-US" w:eastAsia="zh-CN"/>
              </w:rPr>
            </w:pPr>
          </w:p>
        </w:tc>
        <w:tc>
          <w:tcPr>
            <w:tcW w:w="1155" w:type="dxa"/>
            <w:vMerge w:val="continue"/>
            <w:vAlign w:val="center"/>
          </w:tcPr>
          <w:p w14:paraId="4FCE1F0E">
            <w:pPr>
              <w:pageBreakBefore w:val="0"/>
              <w:kinsoku/>
              <w:wordWrap/>
              <w:overflowPunct/>
              <w:topLinePunct w:val="0"/>
              <w:bidi w:val="0"/>
              <w:adjustRightInd w:val="0"/>
              <w:snapToGrid w:val="0"/>
              <w:spacing w:beforeAutospacing="0" w:afterAutospacing="0" w:line="288" w:lineRule="auto"/>
              <w:jc w:val="both"/>
              <w:textAlignment w:val="auto"/>
              <w:rPr>
                <w:rFonts w:hint="eastAsia" w:asciiTheme="minorEastAsia" w:hAnsiTheme="minorEastAsia" w:eastAsiaTheme="minorEastAsia" w:cstheme="minorEastAsia"/>
                <w:i w:val="0"/>
                <w:iCs w:val="0"/>
                <w:color w:val="auto"/>
                <w:sz w:val="21"/>
                <w:szCs w:val="21"/>
                <w:highlight w:val="none"/>
              </w:rPr>
            </w:pPr>
          </w:p>
        </w:tc>
        <w:tc>
          <w:tcPr>
            <w:tcW w:w="676" w:type="dxa"/>
            <w:shd w:val="clear" w:color="auto" w:fill="auto"/>
            <w:vAlign w:val="center"/>
          </w:tcPr>
          <w:p w14:paraId="4F6F64DD">
            <w:pPr>
              <w:keepNext w:val="0"/>
              <w:keepLines w:val="0"/>
              <w:pageBreakBefore w:val="0"/>
              <w:widowControl w:val="0"/>
              <w:kinsoku/>
              <w:wordWrap/>
              <w:overflowPunct/>
              <w:topLinePunct w:val="0"/>
              <w:autoSpaceDE/>
              <w:autoSpaceDN/>
              <w:bidi w:val="0"/>
              <w:adjustRightInd w:val="0"/>
              <w:snapToGrid/>
              <w:ind w:firstLine="0" w:firstLineChars="0"/>
              <w:jc w:val="center"/>
              <w:textAlignment w:val="auto"/>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进度安排</w:t>
            </w:r>
          </w:p>
          <w:p w14:paraId="71A607B3">
            <w:pPr>
              <w:keepNext w:val="0"/>
              <w:keepLines w:val="0"/>
              <w:pageBreakBefore w:val="0"/>
              <w:widowControl w:val="0"/>
              <w:kinsoku/>
              <w:wordWrap/>
              <w:overflowPunct/>
              <w:topLinePunct w:val="0"/>
              <w:autoSpaceDE/>
              <w:autoSpaceDN/>
              <w:bidi w:val="0"/>
              <w:adjustRightInd w:val="0"/>
              <w:snapToGrid/>
              <w:ind w:firstLine="0" w:firstLineChars="0"/>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cs="宋体"/>
                <w:b w:val="0"/>
                <w:bCs w:val="0"/>
                <w:color w:val="auto"/>
                <w:sz w:val="21"/>
                <w:szCs w:val="21"/>
                <w:highlight w:val="none"/>
                <w:lang w:val="en-US" w:eastAsia="zh-CN"/>
              </w:rPr>
              <w:t>（20分）</w:t>
            </w:r>
          </w:p>
        </w:tc>
        <w:tc>
          <w:tcPr>
            <w:tcW w:w="3614" w:type="dxa"/>
            <w:shd w:val="clear" w:color="auto" w:fill="auto"/>
            <w:vAlign w:val="center"/>
          </w:tcPr>
          <w:p w14:paraId="3D890099">
            <w:pPr>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供应商提供针对本项目的服务内容和服务要求提供进度安排，包含项目进度计划安排，项目进度保障措施，人员安排等。</w:t>
            </w:r>
          </w:p>
          <w:p w14:paraId="68F06683">
            <w:pPr>
              <w:pStyle w:val="9"/>
              <w:ind w:firstLine="420" w:firstLineChars="200"/>
              <w:rPr>
                <w:rFonts w:hint="eastAsia" w:ascii="Times New Roman" w:hAnsi="Times New Roman" w:eastAsia="宋体" w:cs="Times New Roman"/>
                <w:color w:val="auto"/>
                <w:kern w:val="2"/>
                <w:sz w:val="18"/>
                <w:szCs w:val="18"/>
                <w:highlight w:val="none"/>
                <w:lang w:val="en-US" w:eastAsia="zh-CN" w:bidi="ar-SA"/>
              </w:rPr>
            </w:pPr>
            <w:r>
              <w:rPr>
                <w:rFonts w:hint="eastAsia" w:ascii="宋体" w:hAnsi="宋体" w:cs="宋体"/>
                <w:color w:val="auto"/>
                <w:sz w:val="21"/>
                <w:szCs w:val="21"/>
                <w:highlight w:val="none"/>
              </w:rPr>
              <w:t>阐述内容包含上述所有内容，且对各项内容均进行描述的基础上，内容不存在瑕疵得</w:t>
            </w:r>
            <w:r>
              <w:rPr>
                <w:rFonts w:hint="eastAsia" w:ascii="宋体" w:hAnsi="宋体" w:cs="宋体"/>
                <w:color w:val="auto"/>
                <w:sz w:val="21"/>
                <w:szCs w:val="21"/>
                <w:highlight w:val="none"/>
                <w:lang w:val="en-US" w:eastAsia="zh-CN"/>
              </w:rPr>
              <w:t>20</w:t>
            </w:r>
            <w:r>
              <w:rPr>
                <w:rFonts w:hint="eastAsia" w:ascii="宋体" w:hAnsi="宋体" w:cs="宋体"/>
                <w:color w:val="auto"/>
                <w:sz w:val="21"/>
                <w:szCs w:val="21"/>
                <w:highlight w:val="none"/>
              </w:rPr>
              <w:t>分；方案内容存在1处瑕疵扣</w:t>
            </w: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分；本项分扣完为止。</w:t>
            </w:r>
          </w:p>
        </w:tc>
        <w:tc>
          <w:tcPr>
            <w:tcW w:w="2811" w:type="dxa"/>
            <w:vMerge w:val="continue"/>
            <w:vAlign w:val="center"/>
          </w:tcPr>
          <w:p w14:paraId="3A3E4FC3">
            <w:pPr>
              <w:keepNext w:val="0"/>
              <w:keepLines w:val="0"/>
              <w:pageBreakBefore w:val="0"/>
              <w:widowControl w:val="0"/>
              <w:kinsoku/>
              <w:wordWrap/>
              <w:overflowPunct/>
              <w:topLinePunct w:val="0"/>
              <w:autoSpaceDE/>
              <w:autoSpaceDN/>
              <w:bidi w:val="0"/>
              <w:adjustRightInd/>
              <w:snapToGrid w:val="0"/>
              <w:textAlignment w:val="auto"/>
              <w:rPr>
                <w:rFonts w:hint="eastAsia"/>
                <w:color w:val="auto"/>
                <w:sz w:val="21"/>
                <w:szCs w:val="21"/>
              </w:rPr>
            </w:pPr>
          </w:p>
        </w:tc>
      </w:tr>
      <w:tr w14:paraId="38321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3" w:hRule="atLeast"/>
          <w:jc w:val="center"/>
        </w:trPr>
        <w:tc>
          <w:tcPr>
            <w:tcW w:w="522" w:type="dxa"/>
            <w:vMerge w:val="continue"/>
            <w:shd w:val="clear" w:color="auto" w:fill="auto"/>
            <w:vAlign w:val="center"/>
          </w:tcPr>
          <w:p w14:paraId="79543B2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highlight w:val="none"/>
                <w:lang w:val="en-US" w:eastAsia="zh-CN"/>
              </w:rPr>
            </w:pPr>
          </w:p>
        </w:tc>
        <w:tc>
          <w:tcPr>
            <w:tcW w:w="1155" w:type="dxa"/>
            <w:shd w:val="clear" w:color="auto" w:fill="auto"/>
            <w:vAlign w:val="center"/>
          </w:tcPr>
          <w:p w14:paraId="2EB7AF2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商务部分（20）</w:t>
            </w:r>
          </w:p>
        </w:tc>
        <w:tc>
          <w:tcPr>
            <w:tcW w:w="676" w:type="dxa"/>
            <w:shd w:val="clear" w:color="auto" w:fill="auto"/>
            <w:vAlign w:val="center"/>
          </w:tcPr>
          <w:p w14:paraId="61E5855B">
            <w:pPr>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业绩</w:t>
            </w:r>
            <w:r>
              <w:rPr>
                <w:rFonts w:hint="eastAsia" w:ascii="宋体" w:hAnsi="宋体" w:cs="宋体"/>
                <w:color w:val="auto"/>
                <w:sz w:val="21"/>
                <w:szCs w:val="21"/>
                <w:highlight w:val="none"/>
                <w:lang w:val="en-US" w:eastAsia="zh-CN"/>
              </w:rPr>
              <w:br w:type="textWrapping"/>
            </w:r>
            <w:r>
              <w:rPr>
                <w:rFonts w:hint="eastAsia" w:ascii="宋体" w:hAnsi="宋体" w:cs="宋体"/>
                <w:color w:val="auto"/>
                <w:sz w:val="21"/>
                <w:szCs w:val="21"/>
                <w:highlight w:val="none"/>
                <w:lang w:val="en-US" w:eastAsia="zh-CN"/>
              </w:rPr>
              <w:t>（20分）</w:t>
            </w:r>
          </w:p>
        </w:tc>
        <w:tc>
          <w:tcPr>
            <w:tcW w:w="3614" w:type="dxa"/>
            <w:shd w:val="clear" w:color="auto" w:fill="auto"/>
            <w:vAlign w:val="center"/>
          </w:tcPr>
          <w:p w14:paraId="655CEB5C">
            <w:pPr>
              <w:jc w:val="left"/>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2021年至今（以合同签订时间为准），供应商完成过类似业绩，每提供1项业绩得5分，最多得20分，不提供不得分。</w:t>
            </w:r>
          </w:p>
        </w:tc>
        <w:tc>
          <w:tcPr>
            <w:tcW w:w="2811" w:type="dxa"/>
            <w:shd w:val="clear" w:color="auto" w:fill="auto"/>
            <w:vAlign w:val="center"/>
          </w:tcPr>
          <w:p w14:paraId="1021D2C7">
            <w:pPr>
              <w:spacing w:line="30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提供合同复印件或中标通知书复印件。</w:t>
            </w:r>
          </w:p>
          <w:p w14:paraId="3C8079B2">
            <w:pPr>
              <w:spacing w:line="30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供应商为该项目开具发票的凭证复印件或该项目验收证明材料。</w:t>
            </w:r>
          </w:p>
          <w:p w14:paraId="2756C321">
            <w:pPr>
              <w:spacing w:line="30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3</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提供以上材料加盖公章，不完全者不得分。</w:t>
            </w:r>
          </w:p>
        </w:tc>
      </w:tr>
    </w:tbl>
    <w:p w14:paraId="316AB661">
      <w:pPr>
        <w:pStyle w:val="8"/>
        <w:pageBreakBefore w:val="0"/>
        <w:kinsoku/>
        <w:wordWrap/>
        <w:overflowPunct/>
        <w:topLinePunct w:val="0"/>
        <w:bidi w:val="0"/>
        <w:adjustRightInd w:val="0"/>
        <w:snapToGrid w:val="0"/>
        <w:spacing w:beforeAutospacing="0" w:afterAutospacing="0" w:line="288" w:lineRule="auto"/>
        <w:ind w:left="0" w:leftChars="0" w:firstLine="0" w:firstLineChars="0"/>
        <w:textAlignment w:val="auto"/>
        <w:rPr>
          <w:rFonts w:hint="eastAsia" w:ascii="宋体" w:hAnsi="宋体" w:cs="宋体"/>
          <w:b w:val="0"/>
          <w:bCs w:val="0"/>
          <w:color w:val="auto"/>
          <w:sz w:val="24"/>
          <w:szCs w:val="24"/>
          <w:highlight w:val="none"/>
        </w:rPr>
      </w:pPr>
    </w:p>
    <w:p w14:paraId="22C4F95C">
      <w:pPr>
        <w:pStyle w:val="8"/>
        <w:pageBreakBefore w:val="0"/>
        <w:kinsoku/>
        <w:wordWrap/>
        <w:overflowPunct/>
        <w:topLinePunct w:val="0"/>
        <w:bidi w:val="0"/>
        <w:adjustRightInd w:val="0"/>
        <w:snapToGrid w:val="0"/>
        <w:spacing w:beforeAutospacing="0" w:afterAutospacing="0" w:line="288" w:lineRule="auto"/>
        <w:ind w:firstLine="480" w:firstLineChars="20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说明：本项目异常低价问题参照《关于推动解决政府采购异常低价问题的通知》财库〔2026〕2号文件规定执行。</w:t>
      </w:r>
    </w:p>
    <w:p w14:paraId="1D73C1E5">
      <w:pPr>
        <w:pStyle w:val="8"/>
        <w:pageBreakBefore w:val="0"/>
        <w:kinsoku/>
        <w:wordWrap/>
        <w:overflowPunct/>
        <w:topLinePunct w:val="0"/>
        <w:bidi w:val="0"/>
        <w:adjustRightInd w:val="0"/>
        <w:snapToGrid w:val="0"/>
        <w:spacing w:beforeAutospacing="0" w:afterAutospacing="0" w:line="288" w:lineRule="auto"/>
        <w:ind w:firstLine="480" w:firstLineChars="20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（一）政府采购异常低价问题有关事项的说明</w:t>
      </w:r>
    </w:p>
    <w:p w14:paraId="101A5E51">
      <w:pPr>
        <w:pStyle w:val="8"/>
        <w:pageBreakBefore w:val="0"/>
        <w:kinsoku/>
        <w:wordWrap/>
        <w:overflowPunct/>
        <w:topLinePunct w:val="0"/>
        <w:bidi w:val="0"/>
        <w:adjustRightInd w:val="0"/>
        <w:snapToGrid w:val="0"/>
        <w:spacing w:beforeAutospacing="0" w:afterAutospacing="0" w:line="288" w:lineRule="auto"/>
        <w:ind w:firstLine="480" w:firstLineChars="20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1）根据《关于推动解决政府采购异常低价问题的通知》财库〔2026〕2号文件规定，政府采购评审中出现下列情形之一的，评审委员会应当启动异常低价响应审查程序：</w:t>
      </w:r>
    </w:p>
    <w:p w14:paraId="1E20791B">
      <w:pPr>
        <w:pStyle w:val="8"/>
        <w:pageBreakBefore w:val="0"/>
        <w:kinsoku/>
        <w:wordWrap/>
        <w:overflowPunct/>
        <w:topLinePunct w:val="0"/>
        <w:bidi w:val="0"/>
        <w:adjustRightInd w:val="0"/>
        <w:snapToGrid w:val="0"/>
        <w:spacing w:beforeAutospacing="0" w:afterAutospacing="0" w:line="288" w:lineRule="auto"/>
        <w:ind w:firstLine="480" w:firstLineChars="20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①响应报价低于全部通过符合性审查供应商响应报价平均值50%的，即响应报价&lt;全部通过符合性审查供应商响应报价平均值×50%；</w:t>
      </w:r>
    </w:p>
    <w:p w14:paraId="11568E70">
      <w:pPr>
        <w:pStyle w:val="8"/>
        <w:pageBreakBefore w:val="0"/>
        <w:kinsoku/>
        <w:wordWrap/>
        <w:overflowPunct/>
        <w:topLinePunct w:val="0"/>
        <w:bidi w:val="0"/>
        <w:adjustRightInd w:val="0"/>
        <w:snapToGrid w:val="0"/>
        <w:spacing w:beforeAutospacing="0" w:afterAutospacing="0" w:line="288" w:lineRule="auto"/>
        <w:ind w:firstLine="480" w:firstLineChars="20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②响应报价低于通过符合性审查的次低报价供应商响应报价50%的，即响应报价&lt;通过符合性审查的次低报价供应商响应报价×50%；</w:t>
      </w:r>
    </w:p>
    <w:p w14:paraId="25AA22BC">
      <w:pPr>
        <w:pStyle w:val="8"/>
        <w:pageBreakBefore w:val="0"/>
        <w:kinsoku/>
        <w:wordWrap/>
        <w:overflowPunct/>
        <w:topLinePunct w:val="0"/>
        <w:bidi w:val="0"/>
        <w:adjustRightInd w:val="0"/>
        <w:snapToGrid w:val="0"/>
        <w:spacing w:beforeAutospacing="0" w:afterAutospacing="0" w:line="288" w:lineRule="auto"/>
        <w:ind w:firstLine="480" w:firstLineChars="20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③响应报价低于采购项目最高限价45%的，即响应报价&lt;采购项目最高限价×45%；</w:t>
      </w:r>
    </w:p>
    <w:p w14:paraId="5B73BE48">
      <w:pPr>
        <w:pStyle w:val="8"/>
        <w:pageBreakBefore w:val="0"/>
        <w:kinsoku/>
        <w:wordWrap/>
        <w:overflowPunct/>
        <w:topLinePunct w:val="0"/>
        <w:bidi w:val="0"/>
        <w:adjustRightInd w:val="0"/>
        <w:snapToGrid w:val="0"/>
        <w:spacing w:beforeAutospacing="0" w:afterAutospacing="0" w:line="288" w:lineRule="auto"/>
        <w:ind w:firstLine="480" w:firstLineChars="20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④评审委员会基于专业判断，认为供应商报价过低，有可能影响产品质量或者不能诚信履约的其他情形。</w:t>
      </w:r>
    </w:p>
    <w:p w14:paraId="4E746326">
      <w:pPr>
        <w:pStyle w:val="8"/>
        <w:pageBreakBefore w:val="0"/>
        <w:kinsoku/>
        <w:wordWrap/>
        <w:overflowPunct/>
        <w:topLinePunct w:val="0"/>
        <w:bidi w:val="0"/>
        <w:adjustRightInd w:val="0"/>
        <w:snapToGrid w:val="0"/>
        <w:spacing w:beforeAutospacing="0" w:afterAutospacing="0" w:line="288" w:lineRule="auto"/>
        <w:ind w:firstLine="480" w:firstLineChars="20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2）评审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21EFA05A">
      <w:pPr>
        <w:pStyle w:val="8"/>
        <w:pageBreakBefore w:val="0"/>
        <w:kinsoku/>
        <w:wordWrap/>
        <w:overflowPunct/>
        <w:topLinePunct w:val="0"/>
        <w:bidi w:val="0"/>
        <w:adjustRightInd w:val="0"/>
        <w:snapToGrid w:val="0"/>
        <w:spacing w:beforeAutospacing="0" w:afterAutospacing="0" w:line="288" w:lineRule="auto"/>
        <w:ind w:firstLine="480" w:firstLineChars="20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3）评审委员会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评审委员会应当将其作为无效响应处理。</w:t>
      </w:r>
    </w:p>
    <w:p w14:paraId="67012C6C">
      <w:pPr>
        <w:pStyle w:val="8"/>
        <w:pageBreakBefore w:val="0"/>
        <w:kinsoku/>
        <w:wordWrap/>
        <w:overflowPunct/>
        <w:topLinePunct w:val="0"/>
        <w:bidi w:val="0"/>
        <w:adjustRightInd w:val="0"/>
        <w:snapToGrid w:val="0"/>
        <w:spacing w:beforeAutospacing="0" w:afterAutospacing="0" w:line="288" w:lineRule="auto"/>
        <w:ind w:firstLine="480" w:firstLineChars="200"/>
        <w:textAlignment w:val="auto"/>
        <w:rPr>
          <w:rFonts w:hint="eastAsia" w:ascii="宋体" w:hAnsi="宋体" w:cs="宋体"/>
          <w:b w:val="0"/>
          <w:bCs w:val="0"/>
          <w:color w:val="auto"/>
          <w:sz w:val="24"/>
          <w:szCs w:val="24"/>
          <w:highlight w:val="none"/>
        </w:rPr>
      </w:pPr>
    </w:p>
    <w:p w14:paraId="00F8CB2E">
      <w:pPr>
        <w:pStyle w:val="8"/>
        <w:pageBreakBefore w:val="0"/>
        <w:kinsoku/>
        <w:wordWrap/>
        <w:overflowPunct/>
        <w:topLinePunct w:val="0"/>
        <w:bidi w:val="0"/>
        <w:adjustRightInd w:val="0"/>
        <w:snapToGrid w:val="0"/>
        <w:spacing w:beforeAutospacing="0" w:afterAutospacing="0" w:line="288" w:lineRule="auto"/>
        <w:ind w:firstLine="482" w:firstLineChars="200"/>
        <w:textAlignment w:val="auto"/>
        <w:rPr>
          <w:rFonts w:ascii="宋体" w:hAnsi="宋体" w:cs="宋体"/>
          <w:b/>
          <w:bCs/>
          <w:color w:val="auto"/>
          <w:sz w:val="24"/>
          <w:szCs w:val="24"/>
          <w:highlight w:val="none"/>
        </w:rPr>
      </w:pPr>
      <w:r>
        <w:rPr>
          <w:rFonts w:hint="eastAsia" w:ascii="宋体" w:hAnsi="宋体" w:cs="宋体"/>
          <w:b/>
          <w:bCs/>
          <w:color w:val="auto"/>
          <w:sz w:val="24"/>
          <w:szCs w:val="24"/>
          <w:highlight w:val="none"/>
        </w:rPr>
        <w:t>七、提交报价文件的份数和签署</w:t>
      </w:r>
    </w:p>
    <w:p w14:paraId="24B8D845">
      <w:pPr>
        <w:pStyle w:val="8"/>
        <w:pageBreakBefore w:val="0"/>
        <w:kinsoku/>
        <w:wordWrap/>
        <w:overflowPunct/>
        <w:topLinePunct w:val="0"/>
        <w:bidi w:val="0"/>
        <w:adjustRightInd w:val="0"/>
        <w:snapToGrid w:val="0"/>
        <w:spacing w:beforeAutospacing="0" w:afterAutospacing="0" w:line="288" w:lineRule="auto"/>
        <w:ind w:left="238" w:leftChars="85"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1.报价文件一式</w:t>
      </w:r>
      <w:r>
        <w:rPr>
          <w:rFonts w:hint="eastAsia" w:ascii="宋体" w:hAnsi="宋体" w:cs="宋体"/>
          <w:color w:val="auto"/>
          <w:sz w:val="24"/>
          <w:szCs w:val="24"/>
          <w:highlight w:val="none"/>
          <w:lang w:val="en-US" w:eastAsia="zh-CN"/>
        </w:rPr>
        <w:t>二份</w:t>
      </w:r>
      <w:r>
        <w:rPr>
          <w:rFonts w:hint="eastAsia" w:ascii="宋体" w:hAnsi="宋体" w:cs="宋体"/>
          <w:color w:val="auto"/>
          <w:sz w:val="24"/>
          <w:szCs w:val="24"/>
          <w:highlight w:val="none"/>
        </w:rPr>
        <w:t>。其中正本一份，副本一份，副本可为正本的复印件，应与正本一致，如出现不一致情况以正本为准</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 xml:space="preserve"> </w:t>
      </w:r>
    </w:p>
    <w:p w14:paraId="5F241500">
      <w:pPr>
        <w:pStyle w:val="8"/>
        <w:pageBreakBefore w:val="0"/>
        <w:kinsoku/>
        <w:wordWrap/>
        <w:overflowPunct/>
        <w:topLinePunct w:val="0"/>
        <w:bidi w:val="0"/>
        <w:adjustRightInd w:val="0"/>
        <w:snapToGrid w:val="0"/>
        <w:spacing w:beforeAutospacing="0" w:afterAutospacing="0" w:line="288" w:lineRule="auto"/>
        <w:ind w:left="238" w:leftChars="85"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2.在报价文件中规定签署、盖章的地方必须按其规定签署、盖章。否则视为无效报价。</w:t>
      </w:r>
    </w:p>
    <w:p w14:paraId="720F9477">
      <w:pPr>
        <w:pageBreakBefore w:val="0"/>
        <w:widowControl/>
        <w:kinsoku/>
        <w:wordWrap/>
        <w:overflowPunct/>
        <w:topLinePunct w:val="0"/>
        <w:bidi w:val="0"/>
        <w:adjustRightInd w:val="0"/>
        <w:snapToGrid w:val="0"/>
        <w:spacing w:beforeAutospacing="0" w:afterAutospacing="0" w:line="288" w:lineRule="auto"/>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八、付款方式：</w:t>
      </w:r>
    </w:p>
    <w:p w14:paraId="4F729618">
      <w:pPr>
        <w:pageBreakBefore w:val="0"/>
        <w:widowControl/>
        <w:kinsoku/>
        <w:wordWrap/>
        <w:overflowPunct/>
        <w:topLinePunct w:val="0"/>
        <w:bidi w:val="0"/>
        <w:adjustRightInd w:val="0"/>
        <w:snapToGrid w:val="0"/>
        <w:spacing w:beforeAutospacing="0" w:afterAutospacing="0" w:line="288"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合同签订后</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采购人在10个工作日内，向成交供应商支付合同总金额30%作为项目启动经费</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成交供应商完成</w:t>
      </w:r>
      <w:r>
        <w:rPr>
          <w:rFonts w:hint="eastAsia" w:ascii="宋体" w:hAnsi="宋体" w:cs="宋体"/>
          <w:color w:val="auto"/>
          <w:kern w:val="0"/>
          <w:sz w:val="24"/>
          <w:szCs w:val="24"/>
          <w:highlight w:val="none"/>
        </w:rPr>
        <w:t>全部工作，</w:t>
      </w:r>
      <w:r>
        <w:rPr>
          <w:rFonts w:hint="eastAsia" w:ascii="宋体" w:hAnsi="宋体" w:cs="宋体"/>
          <w:color w:val="auto"/>
          <w:sz w:val="24"/>
          <w:szCs w:val="24"/>
          <w:highlight w:val="none"/>
        </w:rPr>
        <w:t>根据我院意见修改并</w:t>
      </w:r>
      <w:r>
        <w:rPr>
          <w:rFonts w:hint="eastAsia" w:ascii="宋体" w:hAnsi="宋体" w:cs="宋体"/>
          <w:color w:val="auto"/>
          <w:kern w:val="0"/>
          <w:sz w:val="24"/>
          <w:szCs w:val="24"/>
          <w:highlight w:val="none"/>
        </w:rPr>
        <w:t>通过我院验收</w:t>
      </w:r>
      <w:r>
        <w:rPr>
          <w:rFonts w:hint="eastAsia" w:ascii="宋体" w:hAnsi="宋体" w:cs="宋体"/>
          <w:color w:val="auto"/>
          <w:kern w:val="0"/>
          <w:sz w:val="24"/>
          <w:szCs w:val="24"/>
          <w:highlight w:val="none"/>
          <w:lang w:eastAsia="zh-CN"/>
        </w:rPr>
        <w:t>，</w:t>
      </w:r>
      <w:r>
        <w:rPr>
          <w:rFonts w:hint="eastAsia" w:ascii="宋体" w:hAnsi="宋体" w:eastAsia="宋体" w:cs="宋体"/>
          <w:color w:val="auto"/>
          <w:sz w:val="24"/>
          <w:szCs w:val="24"/>
          <w:highlight w:val="none"/>
        </w:rPr>
        <w:t>10个工作日内我院</w:t>
      </w:r>
      <w:r>
        <w:rPr>
          <w:rFonts w:hint="eastAsia" w:ascii="宋体" w:hAnsi="宋体" w:eastAsia="宋体" w:cs="宋体"/>
          <w:color w:val="auto"/>
          <w:sz w:val="24"/>
          <w:szCs w:val="24"/>
          <w:highlight w:val="none"/>
          <w:lang w:val="en-US" w:eastAsia="zh-CN"/>
        </w:rPr>
        <w:t>一次性</w:t>
      </w:r>
      <w:r>
        <w:rPr>
          <w:rFonts w:hint="eastAsia" w:ascii="宋体" w:hAnsi="宋体" w:eastAsia="宋体" w:cs="宋体"/>
          <w:color w:val="auto"/>
          <w:sz w:val="24"/>
          <w:szCs w:val="24"/>
          <w:highlight w:val="none"/>
        </w:rPr>
        <w:t>支付</w:t>
      </w:r>
      <w:r>
        <w:rPr>
          <w:rFonts w:hint="eastAsia" w:ascii="宋体" w:hAnsi="宋体" w:eastAsia="宋体" w:cs="宋体"/>
          <w:color w:val="auto"/>
          <w:sz w:val="24"/>
          <w:szCs w:val="24"/>
          <w:highlight w:val="none"/>
          <w:lang w:val="en-US" w:eastAsia="zh-CN"/>
        </w:rPr>
        <w:t>剩下的</w:t>
      </w:r>
      <w:r>
        <w:rPr>
          <w:rFonts w:hint="eastAsia" w:ascii="宋体" w:hAnsi="宋体" w:cs="宋体"/>
          <w:color w:val="auto"/>
          <w:kern w:val="0"/>
          <w:sz w:val="24"/>
          <w:szCs w:val="24"/>
          <w:highlight w:val="none"/>
          <w:lang w:val="en-US" w:eastAsia="zh-CN"/>
        </w:rPr>
        <w:t>全部</w:t>
      </w:r>
      <w:r>
        <w:rPr>
          <w:rFonts w:hint="eastAsia" w:ascii="宋体" w:hAnsi="宋体" w:cs="宋体"/>
          <w:color w:val="auto"/>
          <w:kern w:val="0"/>
          <w:sz w:val="24"/>
          <w:szCs w:val="24"/>
          <w:highlight w:val="none"/>
        </w:rPr>
        <w:t>工作经费</w:t>
      </w:r>
      <w:r>
        <w:rPr>
          <w:rFonts w:hint="eastAsia" w:ascii="宋体" w:hAnsi="宋体" w:cs="宋体"/>
          <w:color w:val="auto"/>
          <w:sz w:val="24"/>
          <w:szCs w:val="24"/>
          <w:highlight w:val="none"/>
        </w:rPr>
        <w:t>。</w:t>
      </w:r>
    </w:p>
    <w:p w14:paraId="188DE2B3">
      <w:pPr>
        <w:pageBreakBefore w:val="0"/>
        <w:widowControl/>
        <w:kinsoku/>
        <w:wordWrap/>
        <w:overflowPunct/>
        <w:topLinePunct w:val="0"/>
        <w:bidi w:val="0"/>
        <w:adjustRightInd w:val="0"/>
        <w:snapToGrid w:val="0"/>
        <w:spacing w:beforeAutospacing="0" w:afterAutospacing="0" w:line="288"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成交供应商应在我院支付经费之前提供有效的票据，且成交供应商严格按照我院要求和格式提交相关资料，否则我院有权拒绝支付相关费用。</w:t>
      </w:r>
    </w:p>
    <w:p w14:paraId="12DDDCE2">
      <w:pPr>
        <w:pageBreakBefore w:val="0"/>
        <w:widowControl/>
        <w:shd w:val="clear" w:color="auto" w:fill="FFFFFF"/>
        <w:kinsoku/>
        <w:wordWrap/>
        <w:overflowPunct/>
        <w:topLinePunct w:val="0"/>
        <w:bidi w:val="0"/>
        <w:adjustRightInd w:val="0"/>
        <w:snapToGrid w:val="0"/>
        <w:spacing w:beforeAutospacing="0" w:afterAutospacing="0" w:line="288" w:lineRule="auto"/>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九、报价要求</w:t>
      </w:r>
    </w:p>
    <w:p w14:paraId="3F833848">
      <w:pPr>
        <w:pageBreakBefore w:val="0"/>
        <w:widowControl/>
        <w:kinsoku/>
        <w:wordWrap/>
        <w:overflowPunct/>
        <w:topLinePunct w:val="0"/>
        <w:bidi w:val="0"/>
        <w:adjustRightInd w:val="0"/>
        <w:snapToGrid w:val="0"/>
        <w:spacing w:beforeAutospacing="0" w:afterAutospacing="0" w:line="288" w:lineRule="auto"/>
        <w:ind w:firstLine="482" w:firstLineChars="200"/>
        <w:jc w:val="left"/>
        <w:textAlignment w:val="auto"/>
        <w:rPr>
          <w:rFonts w:ascii="宋体" w:hAnsi="宋体" w:cs="宋体"/>
          <w:color w:val="auto"/>
          <w:sz w:val="24"/>
          <w:szCs w:val="24"/>
          <w:highlight w:val="none"/>
        </w:rPr>
      </w:pPr>
      <w:r>
        <w:rPr>
          <w:rFonts w:hint="eastAsia" w:asciiTheme="minorEastAsia" w:hAnsiTheme="minorEastAsia" w:eastAsiaTheme="minorEastAsia" w:cstheme="minorEastAsia"/>
          <w:b/>
          <w:bCs/>
          <w:color w:val="auto"/>
          <w:sz w:val="24"/>
          <w:szCs w:val="24"/>
        </w:rPr>
        <w:t>报价文件密封后（在密封袋上注明项目名称）</w:t>
      </w:r>
      <w:r>
        <w:rPr>
          <w:rFonts w:hint="eastAsia" w:ascii="宋体" w:hAnsi="宋体" w:cs="宋体"/>
          <w:b/>
          <w:bCs/>
          <w:color w:val="auto"/>
          <w:sz w:val="24"/>
          <w:szCs w:val="24"/>
        </w:rPr>
        <w:t>请于</w:t>
      </w:r>
      <w:r>
        <w:rPr>
          <w:rFonts w:hint="eastAsia" w:ascii="宋体" w:hAnsi="宋体" w:cs="宋体"/>
          <w:b/>
          <w:bCs/>
          <w:color w:val="auto"/>
          <w:sz w:val="24"/>
          <w:szCs w:val="24"/>
          <w:lang w:val="en-US" w:eastAsia="zh-CN"/>
        </w:rPr>
        <w:t>2026</w:t>
      </w:r>
      <w:r>
        <w:rPr>
          <w:rFonts w:hint="eastAsia" w:ascii="宋体" w:hAnsi="宋体" w:cs="宋体"/>
          <w:b/>
          <w:bCs/>
          <w:color w:val="auto"/>
          <w:sz w:val="24"/>
          <w:szCs w:val="24"/>
        </w:rPr>
        <w:t>年</w:t>
      </w:r>
      <w:r>
        <w:rPr>
          <w:rFonts w:hint="eastAsia" w:ascii="宋体" w:hAnsi="宋体" w:cs="宋体"/>
          <w:b/>
          <w:bCs/>
          <w:color w:val="auto"/>
          <w:sz w:val="24"/>
          <w:szCs w:val="24"/>
          <w:lang w:val="en-US" w:eastAsia="zh-CN"/>
        </w:rPr>
        <w:t>7</w:t>
      </w:r>
      <w:r>
        <w:rPr>
          <w:rFonts w:hint="eastAsia" w:ascii="宋体" w:hAnsi="宋体" w:cs="宋体"/>
          <w:b/>
          <w:bCs/>
          <w:color w:val="auto"/>
          <w:sz w:val="24"/>
          <w:szCs w:val="24"/>
        </w:rPr>
        <w:t>月</w:t>
      </w:r>
      <w:r>
        <w:rPr>
          <w:rFonts w:hint="eastAsia" w:ascii="宋体" w:hAnsi="宋体" w:cs="宋体"/>
          <w:b/>
          <w:bCs/>
          <w:color w:val="auto"/>
          <w:sz w:val="24"/>
          <w:szCs w:val="24"/>
          <w:lang w:val="en-US" w:eastAsia="zh-CN"/>
        </w:rPr>
        <w:t>17</w:t>
      </w:r>
      <w:r>
        <w:rPr>
          <w:rFonts w:hint="eastAsia" w:ascii="宋体" w:hAnsi="宋体" w:cs="宋体"/>
          <w:b/>
          <w:bCs/>
          <w:color w:val="auto"/>
          <w:sz w:val="24"/>
          <w:szCs w:val="24"/>
        </w:rPr>
        <w:t>日上午12：00时前以快递送达方式递交，凡超出上述时限送达的报价文件均拒绝接受并视为贵单位放弃参与本项目报价。</w:t>
      </w:r>
      <w:r>
        <w:rPr>
          <w:rFonts w:hint="eastAsia" w:ascii="宋体" w:hAnsi="宋体" w:cs="宋体"/>
          <w:color w:val="auto"/>
          <w:sz w:val="24"/>
          <w:szCs w:val="24"/>
          <w:highlight w:val="none"/>
        </w:rPr>
        <w:t>报价统一采用本《</w:t>
      </w:r>
      <w:r>
        <w:rPr>
          <w:rFonts w:hint="eastAsia" w:ascii="宋体" w:hAnsi="宋体" w:cs="宋体"/>
          <w:color w:val="auto"/>
          <w:sz w:val="24"/>
          <w:szCs w:val="24"/>
          <w:highlight w:val="none"/>
          <w:lang w:eastAsia="zh-CN"/>
        </w:rPr>
        <w:t>询比</w:t>
      </w:r>
      <w:r>
        <w:rPr>
          <w:rFonts w:hint="eastAsia" w:ascii="宋体" w:hAnsi="宋体" w:cs="宋体"/>
          <w:color w:val="auto"/>
          <w:sz w:val="24"/>
          <w:szCs w:val="24"/>
          <w:highlight w:val="none"/>
        </w:rPr>
        <w:t>文件》附件报价函，否则视为无效报价。</w:t>
      </w:r>
    </w:p>
    <w:p w14:paraId="44632F04">
      <w:pPr>
        <w:pageBreakBefore w:val="0"/>
        <w:widowControl/>
        <w:kinsoku/>
        <w:wordWrap/>
        <w:overflowPunct/>
        <w:topLinePunct w:val="0"/>
        <w:bidi w:val="0"/>
        <w:adjustRightInd w:val="0"/>
        <w:snapToGrid w:val="0"/>
        <w:spacing w:beforeAutospacing="0" w:afterAutospacing="0" w:line="288" w:lineRule="auto"/>
        <w:ind w:firstLine="480" w:firstLineChars="20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参与本项目</w:t>
      </w:r>
      <w:r>
        <w:rPr>
          <w:rFonts w:hint="eastAsia" w:ascii="宋体" w:hAnsi="宋体" w:cs="宋体"/>
          <w:color w:val="auto"/>
          <w:sz w:val="24"/>
          <w:szCs w:val="24"/>
          <w:highlight w:val="none"/>
          <w:lang w:eastAsia="zh-CN"/>
        </w:rPr>
        <w:t>询比</w:t>
      </w:r>
      <w:r>
        <w:rPr>
          <w:rFonts w:hint="eastAsia" w:ascii="宋体" w:hAnsi="宋体" w:cs="宋体"/>
          <w:color w:val="auto"/>
          <w:sz w:val="24"/>
          <w:szCs w:val="24"/>
          <w:highlight w:val="none"/>
        </w:rPr>
        <w:t>的供应商不足3家的，则本项目重新开展</w:t>
      </w:r>
      <w:r>
        <w:rPr>
          <w:rFonts w:hint="eastAsia" w:ascii="宋体" w:hAnsi="宋体" w:cs="宋体"/>
          <w:color w:val="auto"/>
          <w:sz w:val="24"/>
          <w:szCs w:val="24"/>
          <w:highlight w:val="none"/>
          <w:lang w:eastAsia="zh-CN"/>
        </w:rPr>
        <w:t>询比</w:t>
      </w:r>
      <w:r>
        <w:rPr>
          <w:rFonts w:hint="eastAsia" w:ascii="宋体" w:hAnsi="宋体" w:cs="宋体"/>
          <w:color w:val="auto"/>
          <w:sz w:val="24"/>
          <w:szCs w:val="24"/>
          <w:highlight w:val="none"/>
        </w:rPr>
        <w:t>。评审小组认为供应商的报价明显低于其他供应商的报价，有可能影响服务质量或者不能诚信履约的，应当要求其在合理的时间内提供盖章后的书面说明纸质件递交至现场或盖章后的电子文档说明扫描件传至指定邮箱，必要时提交相关证明材料；供应商不能证明其报价合理性的，评审小组应当将其作为无效投标处理。</w:t>
      </w:r>
    </w:p>
    <w:p w14:paraId="75BE53EC">
      <w:pPr>
        <w:pageBreakBefore w:val="0"/>
        <w:widowControl/>
        <w:kinsoku/>
        <w:wordWrap/>
        <w:overflowPunct/>
        <w:topLinePunct w:val="0"/>
        <w:bidi w:val="0"/>
        <w:adjustRightInd w:val="0"/>
        <w:snapToGrid w:val="0"/>
        <w:spacing w:beforeAutospacing="0" w:afterAutospacing="0" w:line="288" w:lineRule="auto"/>
        <w:ind w:firstLine="480" w:firstLineChars="200"/>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联系人：</w:t>
      </w:r>
      <w:r>
        <w:rPr>
          <w:rFonts w:hint="eastAsia" w:ascii="宋体" w:hAnsi="宋体" w:cs="宋体"/>
          <w:color w:val="auto"/>
          <w:sz w:val="24"/>
          <w:szCs w:val="24"/>
          <w:highlight w:val="none"/>
          <w:lang w:val="en-US" w:eastAsia="zh-CN"/>
        </w:rPr>
        <w:t>李</w:t>
      </w:r>
      <w:r>
        <w:rPr>
          <w:rFonts w:hint="eastAsia" w:ascii="宋体" w:hAnsi="宋体" w:cs="宋体"/>
          <w:color w:val="auto"/>
          <w:sz w:val="24"/>
          <w:szCs w:val="24"/>
          <w:highlight w:val="none"/>
        </w:rPr>
        <w:t>老师</w:t>
      </w:r>
    </w:p>
    <w:p w14:paraId="07973A76">
      <w:pPr>
        <w:pageBreakBefore w:val="0"/>
        <w:widowControl/>
        <w:kinsoku/>
        <w:wordWrap/>
        <w:overflowPunct/>
        <w:topLinePunct w:val="0"/>
        <w:bidi w:val="0"/>
        <w:adjustRightInd w:val="0"/>
        <w:snapToGrid w:val="0"/>
        <w:spacing w:beforeAutospacing="0" w:afterAutospacing="0" w:line="288" w:lineRule="auto"/>
        <w:ind w:firstLine="480" w:firstLineChars="200"/>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联系电话：023-63524124</w:t>
      </w:r>
    </w:p>
    <w:p w14:paraId="03B1AD0C">
      <w:pPr>
        <w:pageBreakBefore w:val="0"/>
        <w:widowControl/>
        <w:kinsoku/>
        <w:wordWrap/>
        <w:overflowPunct/>
        <w:topLinePunct w:val="0"/>
        <w:bidi w:val="0"/>
        <w:adjustRightInd w:val="0"/>
        <w:snapToGrid w:val="0"/>
        <w:spacing w:beforeAutospacing="0" w:afterAutospacing="0" w:line="288" w:lineRule="auto"/>
        <w:ind w:firstLine="480" w:firstLineChars="200"/>
        <w:jc w:val="left"/>
        <w:textAlignment w:val="auto"/>
        <w:rPr>
          <w:rFonts w:ascii="宋体" w:hAnsi="宋体" w:cs="宋体"/>
          <w:color w:val="auto"/>
          <w:kern w:val="0"/>
          <w:sz w:val="24"/>
          <w:szCs w:val="24"/>
          <w:highlight w:val="none"/>
        </w:rPr>
      </w:pPr>
      <w:r>
        <w:rPr>
          <w:rFonts w:hint="eastAsia" w:ascii="宋体" w:hAnsi="宋体" w:cs="宋体"/>
          <w:color w:val="auto"/>
          <w:sz w:val="24"/>
          <w:szCs w:val="24"/>
          <w:highlight w:val="none"/>
        </w:rPr>
        <w:t>邮寄地址：重庆市渝中区枇杷山正街72号重庆市文物考古研究院</w:t>
      </w:r>
    </w:p>
    <w:p w14:paraId="53C81738">
      <w:pPr>
        <w:pStyle w:val="3"/>
        <w:pageBreakBefore w:val="0"/>
        <w:kinsoku/>
        <w:wordWrap/>
        <w:overflowPunct/>
        <w:topLinePunct w:val="0"/>
        <w:bidi w:val="0"/>
        <w:adjustRightInd w:val="0"/>
        <w:snapToGrid w:val="0"/>
        <w:spacing w:beforeAutospacing="0" w:afterAutospacing="0" w:line="288" w:lineRule="auto"/>
        <w:ind w:firstLine="482"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十、其他</w:t>
      </w:r>
    </w:p>
    <w:p w14:paraId="69DD3EB6">
      <w:pPr>
        <w:pageBreakBefore w:val="0"/>
        <w:kinsoku/>
        <w:wordWrap/>
        <w:overflowPunct/>
        <w:topLinePunct w:val="0"/>
        <w:bidi w:val="0"/>
        <w:adjustRightInd w:val="0"/>
        <w:snapToGrid w:val="0"/>
        <w:spacing w:beforeAutospacing="0" w:afterAutospacing="0" w:line="288"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1.供应商向我院递交</w:t>
      </w:r>
      <w:r>
        <w:rPr>
          <w:rFonts w:hint="eastAsia" w:ascii="宋体" w:hAnsi="宋体" w:cs="宋体"/>
          <w:color w:val="auto"/>
          <w:sz w:val="24"/>
          <w:szCs w:val="24"/>
          <w:highlight w:val="none"/>
          <w:lang w:val="en-US" w:eastAsia="zh-CN"/>
        </w:rPr>
        <w:t>响应</w:t>
      </w:r>
      <w:r>
        <w:rPr>
          <w:rFonts w:hint="eastAsia" w:ascii="宋体" w:hAnsi="宋体" w:cs="宋体"/>
          <w:color w:val="auto"/>
          <w:sz w:val="24"/>
          <w:szCs w:val="24"/>
          <w:highlight w:val="none"/>
        </w:rPr>
        <w:t>文件视为接受</w:t>
      </w:r>
      <w:r>
        <w:rPr>
          <w:rFonts w:hint="eastAsia" w:ascii="宋体" w:hAnsi="宋体" w:cs="宋体"/>
          <w:color w:val="auto"/>
          <w:sz w:val="24"/>
          <w:szCs w:val="24"/>
          <w:highlight w:val="none"/>
          <w:lang w:eastAsia="zh-CN"/>
        </w:rPr>
        <w:t>询比</w:t>
      </w:r>
      <w:r>
        <w:rPr>
          <w:rFonts w:hint="eastAsia" w:ascii="宋体" w:hAnsi="宋体" w:cs="宋体"/>
          <w:color w:val="auto"/>
          <w:sz w:val="24"/>
          <w:szCs w:val="24"/>
          <w:highlight w:val="none"/>
        </w:rPr>
        <w:t>文件</w:t>
      </w:r>
      <w:r>
        <w:rPr>
          <w:rFonts w:hint="eastAsia" w:ascii="宋体" w:hAnsi="宋体" w:cs="宋体"/>
          <w:color w:val="auto"/>
          <w:sz w:val="24"/>
          <w:szCs w:val="24"/>
          <w:highlight w:val="none"/>
          <w:lang w:val="en-US" w:eastAsia="zh-CN"/>
        </w:rPr>
        <w:t>所有</w:t>
      </w:r>
      <w:r>
        <w:rPr>
          <w:rFonts w:hint="eastAsia" w:ascii="宋体" w:hAnsi="宋体" w:cs="宋体"/>
          <w:color w:val="auto"/>
          <w:sz w:val="24"/>
          <w:szCs w:val="24"/>
          <w:highlight w:val="none"/>
        </w:rPr>
        <w:t>条款，并承诺工作成果必须达到</w:t>
      </w:r>
      <w:r>
        <w:rPr>
          <w:rFonts w:hint="eastAsia" w:ascii="宋体" w:hAnsi="宋体" w:cs="宋体"/>
          <w:color w:val="auto"/>
          <w:sz w:val="24"/>
          <w:szCs w:val="24"/>
          <w:highlight w:val="none"/>
          <w:lang w:val="en-US" w:eastAsia="zh-CN"/>
        </w:rPr>
        <w:t>询比文件</w:t>
      </w:r>
      <w:r>
        <w:rPr>
          <w:rFonts w:hint="eastAsia" w:ascii="宋体" w:hAnsi="宋体" w:cs="宋体"/>
          <w:color w:val="auto"/>
          <w:sz w:val="24"/>
          <w:szCs w:val="24"/>
          <w:highlight w:val="none"/>
        </w:rPr>
        <w:t>的要求。</w:t>
      </w:r>
    </w:p>
    <w:p w14:paraId="3340757D">
      <w:pPr>
        <w:pageBreakBefore w:val="0"/>
        <w:kinsoku/>
        <w:wordWrap/>
        <w:overflowPunct/>
        <w:topLinePunct w:val="0"/>
        <w:bidi w:val="0"/>
        <w:adjustRightInd w:val="0"/>
        <w:snapToGrid w:val="0"/>
        <w:spacing w:beforeAutospacing="0" w:afterAutospacing="0" w:line="288"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2.供应商须自行承诺其提供的响应文件中所有证明材料真实有效，不存在弄虚作假情形。</w:t>
      </w:r>
    </w:p>
    <w:p w14:paraId="05ACD488">
      <w:pPr>
        <w:pageBreakBefore w:val="0"/>
        <w:kinsoku/>
        <w:wordWrap/>
        <w:overflowPunct/>
        <w:topLinePunct w:val="0"/>
        <w:bidi w:val="0"/>
        <w:adjustRightInd w:val="0"/>
        <w:snapToGrid w:val="0"/>
        <w:spacing w:beforeAutospacing="0" w:afterAutospacing="0" w:line="288"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3.我院在采购合同签订前均有权对供应商提供的报价文件中所有内容进行核实，若发现弄虚作假，取消其成交资格，并按相关法律法规报上级主管部门或重庆市财政局监督部门处理，并承担因此造成的相关责任并赔偿相应损失。</w:t>
      </w:r>
    </w:p>
    <w:p w14:paraId="2D5F6BBC">
      <w:pPr>
        <w:pageBreakBefore w:val="0"/>
        <w:kinsoku/>
        <w:wordWrap/>
        <w:overflowPunct/>
        <w:topLinePunct w:val="0"/>
        <w:bidi w:val="0"/>
        <w:adjustRightInd w:val="0"/>
        <w:snapToGrid w:val="0"/>
        <w:spacing w:beforeAutospacing="0" w:afterAutospacing="0" w:line="288"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4.在采购合同签订后发现供应商提供的报价文件存在弄虚作假情形，有权立即解除合同，有权不退还其履约保证金（如有），并按相关法律法规报上级主管部门或重庆市财政局监督部门处理，并承担因此造成的相关责任并赔偿相应损失。</w:t>
      </w:r>
    </w:p>
    <w:p w14:paraId="6E03CA4C">
      <w:pPr>
        <w:pageBreakBefore w:val="0"/>
        <w:kinsoku/>
        <w:wordWrap/>
        <w:overflowPunct/>
        <w:topLinePunct w:val="0"/>
        <w:bidi w:val="0"/>
        <w:adjustRightInd w:val="0"/>
        <w:snapToGrid w:val="0"/>
        <w:spacing w:beforeAutospacing="0" w:afterAutospacing="0" w:line="288"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5.凡有意参加</w:t>
      </w:r>
      <w:r>
        <w:rPr>
          <w:rFonts w:hint="eastAsia" w:ascii="宋体" w:hAnsi="宋体" w:cs="宋体"/>
          <w:color w:val="auto"/>
          <w:sz w:val="24"/>
          <w:szCs w:val="24"/>
          <w:highlight w:val="none"/>
          <w:lang w:eastAsia="zh-CN"/>
        </w:rPr>
        <w:t>询比</w:t>
      </w:r>
      <w:r>
        <w:rPr>
          <w:rFonts w:hint="eastAsia" w:ascii="宋体" w:hAnsi="宋体" w:cs="宋体"/>
          <w:color w:val="auto"/>
          <w:sz w:val="24"/>
          <w:szCs w:val="24"/>
          <w:highlight w:val="none"/>
        </w:rPr>
        <w:t>的供应商，请于公告发布之日起至报名截止时间之前，在重庆市文物考古研究院官网（www.cqkaogu.c</w:t>
      </w:r>
      <w:r>
        <w:rPr>
          <w:rFonts w:hint="eastAsia" w:ascii="宋体" w:hAnsi="宋体" w:cs="宋体"/>
          <w:color w:val="auto"/>
          <w:sz w:val="24"/>
          <w:szCs w:val="24"/>
          <w:highlight w:val="none"/>
          <w:lang w:val="en-US" w:eastAsia="zh-CN"/>
        </w:rPr>
        <w:t>n</w:t>
      </w:r>
      <w:r>
        <w:rPr>
          <w:rFonts w:hint="eastAsia" w:ascii="宋体" w:hAnsi="宋体" w:cs="宋体"/>
          <w:color w:val="auto"/>
          <w:sz w:val="24"/>
          <w:szCs w:val="24"/>
          <w:highlight w:val="none"/>
        </w:rPr>
        <w:t>）上下载查看本项目</w:t>
      </w:r>
      <w:r>
        <w:rPr>
          <w:rFonts w:hint="eastAsia" w:ascii="宋体" w:hAnsi="宋体" w:cs="宋体"/>
          <w:color w:val="auto"/>
          <w:sz w:val="24"/>
          <w:szCs w:val="24"/>
          <w:highlight w:val="none"/>
          <w:lang w:eastAsia="zh-CN"/>
        </w:rPr>
        <w:t>询比</w:t>
      </w:r>
      <w:r>
        <w:rPr>
          <w:rFonts w:hint="eastAsia" w:ascii="宋体" w:hAnsi="宋体" w:cs="宋体"/>
          <w:color w:val="auto"/>
          <w:sz w:val="24"/>
          <w:szCs w:val="24"/>
          <w:highlight w:val="none"/>
        </w:rPr>
        <w:t>文件以及变更公告等</w:t>
      </w:r>
      <w:r>
        <w:rPr>
          <w:rFonts w:hint="eastAsia" w:ascii="宋体" w:hAnsi="宋体" w:cs="宋体"/>
          <w:color w:val="auto"/>
          <w:sz w:val="24"/>
          <w:szCs w:val="24"/>
          <w:highlight w:val="none"/>
          <w:lang w:eastAsia="zh-CN"/>
        </w:rPr>
        <w:t>询比</w:t>
      </w:r>
      <w:r>
        <w:rPr>
          <w:rFonts w:hint="eastAsia" w:ascii="宋体" w:hAnsi="宋体" w:cs="宋体"/>
          <w:color w:val="auto"/>
          <w:sz w:val="24"/>
          <w:szCs w:val="24"/>
          <w:highlight w:val="none"/>
        </w:rPr>
        <w:t>前公布的所有项目资料，无论供应商下载查看与否，均视为已知晓所有</w:t>
      </w:r>
      <w:r>
        <w:rPr>
          <w:rFonts w:hint="eastAsia" w:ascii="宋体" w:hAnsi="宋体" w:cs="宋体"/>
          <w:color w:val="auto"/>
          <w:sz w:val="24"/>
          <w:szCs w:val="24"/>
          <w:highlight w:val="none"/>
          <w:lang w:eastAsia="zh-CN"/>
        </w:rPr>
        <w:t>询比</w:t>
      </w:r>
      <w:r>
        <w:rPr>
          <w:rFonts w:hint="eastAsia" w:ascii="宋体" w:hAnsi="宋体" w:cs="宋体"/>
          <w:color w:val="auto"/>
          <w:sz w:val="24"/>
          <w:szCs w:val="24"/>
          <w:highlight w:val="none"/>
        </w:rPr>
        <w:t>实质性要求内容。</w:t>
      </w:r>
    </w:p>
    <w:p w14:paraId="35E318A2">
      <w:pPr>
        <w:pageBreakBefore w:val="0"/>
        <w:kinsoku/>
        <w:wordWrap/>
        <w:overflowPunct/>
        <w:topLinePunct w:val="0"/>
        <w:bidi w:val="0"/>
        <w:adjustRightInd w:val="0"/>
        <w:snapToGrid w:val="0"/>
        <w:spacing w:beforeAutospacing="0" w:afterAutospacing="0" w:line="288" w:lineRule="auto"/>
        <w:ind w:firstLine="480" w:firstLineChars="200"/>
        <w:textAlignment w:val="auto"/>
        <w:rPr>
          <w:rFonts w:ascii="宋体" w:hAnsi="宋体" w:cs="宋体"/>
          <w:color w:val="auto"/>
          <w:sz w:val="24"/>
          <w:szCs w:val="24"/>
          <w:highlight w:val="none"/>
        </w:rPr>
      </w:pPr>
      <w:r>
        <w:rPr>
          <w:rFonts w:hint="eastAsia" w:cs="宋体"/>
          <w:color w:val="auto"/>
          <w:sz w:val="24"/>
          <w:szCs w:val="24"/>
          <w:highlight w:val="none"/>
        </w:rPr>
        <w:t>6.</w:t>
      </w:r>
      <w:r>
        <w:rPr>
          <w:rFonts w:hint="eastAsia" w:ascii="宋体" w:hAnsi="宋体" w:cs="宋体"/>
          <w:color w:val="auto"/>
          <w:sz w:val="24"/>
          <w:szCs w:val="24"/>
          <w:highlight w:val="none"/>
        </w:rPr>
        <w:t>单位负责人为同一人或者存在直接控股、管理关系的不同供应商，不得同时参与此次</w:t>
      </w:r>
      <w:r>
        <w:rPr>
          <w:rFonts w:hint="eastAsia" w:ascii="宋体" w:hAnsi="宋体" w:cs="宋体"/>
          <w:color w:val="auto"/>
          <w:sz w:val="24"/>
          <w:szCs w:val="24"/>
          <w:highlight w:val="none"/>
          <w:lang w:eastAsia="zh-CN"/>
        </w:rPr>
        <w:t>询比</w:t>
      </w:r>
      <w:r>
        <w:rPr>
          <w:rFonts w:hint="eastAsia" w:ascii="宋体" w:hAnsi="宋体" w:cs="宋体"/>
          <w:color w:val="auto"/>
          <w:sz w:val="24"/>
          <w:szCs w:val="24"/>
          <w:highlight w:val="none"/>
        </w:rPr>
        <w:t>。</w:t>
      </w:r>
    </w:p>
    <w:p w14:paraId="2D231FC6">
      <w:pPr>
        <w:pageBreakBefore w:val="0"/>
        <w:kinsoku/>
        <w:wordWrap/>
        <w:overflowPunct/>
        <w:topLinePunct w:val="0"/>
        <w:bidi w:val="0"/>
        <w:adjustRightInd w:val="0"/>
        <w:snapToGrid w:val="0"/>
        <w:spacing w:beforeAutospacing="0" w:afterAutospacing="0" w:line="288"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7.本项目不接受联合体参与评审。</w:t>
      </w:r>
    </w:p>
    <w:p w14:paraId="4F3B819E">
      <w:pPr>
        <w:pageBreakBefore w:val="0"/>
        <w:kinsoku/>
        <w:wordWrap/>
        <w:overflowPunct/>
        <w:topLinePunct w:val="0"/>
        <w:bidi w:val="0"/>
        <w:adjustRightInd w:val="0"/>
        <w:snapToGrid w:val="0"/>
        <w:spacing w:beforeAutospacing="0" w:afterAutospacing="0" w:line="288"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8.不允许分包、转包。</w:t>
      </w:r>
    </w:p>
    <w:p w14:paraId="250E0E3F">
      <w:pPr>
        <w:pageBreakBefore w:val="0"/>
        <w:kinsoku/>
        <w:wordWrap/>
        <w:overflowPunct/>
        <w:topLinePunct w:val="0"/>
        <w:bidi w:val="0"/>
        <w:adjustRightInd w:val="0"/>
        <w:snapToGrid w:val="0"/>
        <w:spacing w:beforeAutospacing="0" w:afterAutospacing="0" w:line="288"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9.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本院</w:t>
      </w:r>
      <w:r>
        <w:rPr>
          <w:rFonts w:hint="eastAsia" w:ascii="宋体" w:hAnsi="宋体" w:cs="宋体"/>
          <w:color w:val="auto"/>
          <w:sz w:val="24"/>
          <w:szCs w:val="24"/>
          <w:highlight w:val="none"/>
          <w:lang w:eastAsia="zh-CN"/>
        </w:rPr>
        <w:t>询比</w:t>
      </w:r>
      <w:r>
        <w:rPr>
          <w:rFonts w:hint="eastAsia" w:ascii="宋体" w:hAnsi="宋体" w:cs="宋体"/>
          <w:color w:val="auto"/>
          <w:sz w:val="24"/>
          <w:szCs w:val="24"/>
          <w:highlight w:val="none"/>
        </w:rPr>
        <w:t>。</w:t>
      </w:r>
    </w:p>
    <w:p w14:paraId="77B9AFCC">
      <w:pPr>
        <w:pageBreakBefore w:val="0"/>
        <w:kinsoku/>
        <w:wordWrap/>
        <w:overflowPunct/>
        <w:topLinePunct w:val="0"/>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10.采购人应当自</w:t>
      </w:r>
      <w:r>
        <w:rPr>
          <w:rFonts w:hint="eastAsia" w:ascii="宋体" w:hAnsi="宋体" w:eastAsia="宋体" w:cs="宋体"/>
          <w:color w:val="auto"/>
          <w:sz w:val="24"/>
          <w:szCs w:val="24"/>
          <w:highlight w:val="none"/>
          <w:lang w:val="en-US" w:eastAsia="zh-CN"/>
        </w:rPr>
        <w:t>成交结果公示</w:t>
      </w:r>
      <w:r>
        <w:rPr>
          <w:rFonts w:hint="eastAsia" w:ascii="宋体" w:hAnsi="宋体" w:eastAsia="宋体" w:cs="宋体"/>
          <w:color w:val="auto"/>
          <w:sz w:val="24"/>
          <w:szCs w:val="24"/>
          <w:highlight w:val="none"/>
        </w:rPr>
        <w:t>之日起二十日内，按照</w:t>
      </w:r>
      <w:r>
        <w:rPr>
          <w:rFonts w:hint="eastAsia" w:ascii="宋体" w:hAnsi="宋体" w:eastAsia="宋体" w:cs="宋体"/>
          <w:color w:val="auto"/>
          <w:sz w:val="24"/>
          <w:szCs w:val="24"/>
          <w:highlight w:val="none"/>
          <w:lang w:val="en-US" w:eastAsia="zh-CN"/>
        </w:rPr>
        <w:t>询比</w:t>
      </w:r>
      <w:r>
        <w:rPr>
          <w:rFonts w:hint="eastAsia" w:ascii="宋体" w:hAnsi="宋体" w:eastAsia="宋体" w:cs="宋体"/>
          <w:color w:val="auto"/>
          <w:sz w:val="24"/>
          <w:szCs w:val="24"/>
          <w:highlight w:val="none"/>
        </w:rPr>
        <w:t>文件和成交供应商响应文件的约定，与成交供应商签订书面合同。所签订的合同不得对</w:t>
      </w:r>
      <w:r>
        <w:rPr>
          <w:rFonts w:hint="eastAsia" w:ascii="宋体" w:hAnsi="宋体" w:cs="宋体"/>
          <w:color w:val="auto"/>
          <w:sz w:val="24"/>
          <w:szCs w:val="24"/>
          <w:highlight w:val="none"/>
          <w:lang w:val="en-US" w:eastAsia="zh-CN"/>
        </w:rPr>
        <w:t>询比</w:t>
      </w:r>
      <w:r>
        <w:rPr>
          <w:rFonts w:hint="eastAsia" w:ascii="宋体" w:hAnsi="宋体" w:eastAsia="宋体" w:cs="宋体"/>
          <w:color w:val="auto"/>
          <w:sz w:val="24"/>
          <w:szCs w:val="24"/>
          <w:highlight w:val="none"/>
        </w:rPr>
        <w:t>文件和供应商的响应文件作实质性修改。</w:t>
      </w:r>
    </w:p>
    <w:p w14:paraId="4867EE6B">
      <w:pPr>
        <w:pageBreakBefore w:val="0"/>
        <w:kinsoku/>
        <w:wordWrap/>
        <w:overflowPunct/>
        <w:topLinePunct w:val="0"/>
        <w:bidi w:val="0"/>
        <w:adjustRightInd w:val="0"/>
        <w:snapToGrid w:val="0"/>
        <w:spacing w:beforeAutospacing="0" w:afterAutospacing="0" w:line="288"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11.成交供应商在二十日内拒绝和采购人签订书面合同的、</w:t>
      </w:r>
      <w:r>
        <w:rPr>
          <w:rFonts w:hint="eastAsia" w:ascii="宋体" w:hAnsi="宋体" w:eastAsia="宋体" w:cs="宋体"/>
          <w:color w:val="auto"/>
          <w:sz w:val="24"/>
          <w:szCs w:val="24"/>
          <w:highlight w:val="none"/>
        </w:rPr>
        <w:t>成交供应商放弃成交资格、因不可抗力不能履行合同、在合同签订前（或合同已签订但尚未履行的，撤销合同的）被查实响应文件存在弄虚作假或者被查实其他违法行为等情形的，采购人可以按照评标报告推荐的成交候选供应商顺序，确定排名下一位的候选人为成交供应商，也可以重新开展</w:t>
      </w:r>
      <w:r>
        <w:rPr>
          <w:rFonts w:hint="eastAsia" w:ascii="宋体" w:hAnsi="宋体" w:eastAsia="宋体" w:cs="宋体"/>
          <w:color w:val="auto"/>
          <w:sz w:val="24"/>
          <w:szCs w:val="24"/>
          <w:highlight w:val="none"/>
          <w:lang w:val="en-US" w:eastAsia="zh-CN"/>
        </w:rPr>
        <w:t>询比</w:t>
      </w:r>
      <w:r>
        <w:rPr>
          <w:rFonts w:hint="eastAsia" w:ascii="宋体" w:hAnsi="宋体" w:eastAsia="宋体" w:cs="宋体"/>
          <w:color w:val="auto"/>
          <w:sz w:val="24"/>
          <w:szCs w:val="24"/>
          <w:highlight w:val="none"/>
        </w:rPr>
        <w:t>采购活动。</w:t>
      </w:r>
    </w:p>
    <w:p w14:paraId="39CDC955">
      <w:pPr>
        <w:pageBreakBefore w:val="0"/>
        <w:kinsoku/>
        <w:wordWrap/>
        <w:overflowPunct/>
        <w:topLinePunct w:val="0"/>
        <w:bidi w:val="0"/>
        <w:adjustRightInd w:val="0"/>
        <w:snapToGrid w:val="0"/>
        <w:spacing w:beforeAutospacing="0" w:afterAutospacing="0" w:line="288"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12.</w:t>
      </w:r>
      <w:r>
        <w:rPr>
          <w:rFonts w:hint="eastAsia" w:ascii="宋体" w:hAnsi="宋体" w:cs="宋体"/>
          <w:color w:val="auto"/>
          <w:sz w:val="24"/>
          <w:szCs w:val="24"/>
          <w:highlight w:val="none"/>
        </w:rPr>
        <w:t>其他未尽事宜由供需双方在采购合同中详细约定。</w:t>
      </w:r>
    </w:p>
    <w:p w14:paraId="4E591311">
      <w:pPr>
        <w:pageBreakBefore w:val="0"/>
        <w:kinsoku/>
        <w:wordWrap/>
        <w:overflowPunct/>
        <w:topLinePunct w:val="0"/>
        <w:bidi w:val="0"/>
        <w:adjustRightInd w:val="0"/>
        <w:snapToGrid w:val="0"/>
        <w:spacing w:beforeAutospacing="0" w:afterAutospacing="0" w:line="288" w:lineRule="auto"/>
        <w:ind w:firstLine="482" w:firstLineChars="200"/>
        <w:textAlignment w:val="auto"/>
        <w:rPr>
          <w:rFonts w:hint="default"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13.供应商应严格按照响应文件格式提供相应文件，响应文件或文件内容不符合要求的，将被视为未实质性响应询比文件，其响应将被否决。</w:t>
      </w:r>
    </w:p>
    <w:p w14:paraId="417EC48E">
      <w:pPr>
        <w:pageBreakBefore w:val="0"/>
        <w:kinsoku/>
        <w:wordWrap/>
        <w:overflowPunct/>
        <w:topLinePunct w:val="0"/>
        <w:bidi w:val="0"/>
        <w:adjustRightInd w:val="0"/>
        <w:snapToGrid w:val="0"/>
        <w:spacing w:beforeAutospacing="0" w:afterAutospacing="0" w:line="288" w:lineRule="auto"/>
        <w:ind w:firstLine="480" w:firstLineChars="200"/>
        <w:textAlignment w:val="auto"/>
        <w:rPr>
          <w:rFonts w:ascii="宋体" w:hAnsi="宋体" w:cs="宋体"/>
          <w:color w:val="auto"/>
          <w:sz w:val="24"/>
          <w:szCs w:val="24"/>
          <w:highlight w:val="none"/>
        </w:rPr>
        <w:sectPr>
          <w:footerReference r:id="rId5" w:type="default"/>
          <w:pgSz w:w="11906" w:h="16838"/>
          <w:pgMar w:top="1984" w:right="1446" w:bottom="1644" w:left="1446" w:header="851" w:footer="992" w:gutter="0"/>
          <w:pgNumType w:fmt="decimal" w:start="1"/>
          <w:cols w:space="425" w:num="1"/>
          <w:docGrid w:type="lines" w:linePitch="312" w:charSpace="0"/>
        </w:sectPr>
      </w:pPr>
      <w:r>
        <w:rPr>
          <w:rFonts w:ascii="宋体" w:hAnsi="宋体" w:cs="宋体"/>
          <w:color w:val="auto"/>
          <w:sz w:val="24"/>
          <w:szCs w:val="24"/>
          <w:highlight w:val="none"/>
        </w:rPr>
        <w:br w:type="page"/>
      </w:r>
    </w:p>
    <w:tbl>
      <w:tblPr>
        <w:tblStyle w:val="14"/>
        <w:tblW w:w="13491"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6"/>
        <w:gridCol w:w="1041"/>
        <w:gridCol w:w="1152"/>
        <w:gridCol w:w="758"/>
        <w:gridCol w:w="852"/>
        <w:gridCol w:w="816"/>
        <w:gridCol w:w="828"/>
        <w:gridCol w:w="1044"/>
        <w:gridCol w:w="1536"/>
        <w:gridCol w:w="3780"/>
        <w:gridCol w:w="948"/>
      </w:tblGrid>
      <w:tr w14:paraId="24AD1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13491" w:type="dxa"/>
            <w:gridSpan w:val="11"/>
            <w:tcBorders>
              <w:top w:val="nil"/>
              <w:left w:val="nil"/>
              <w:bottom w:val="nil"/>
              <w:right w:val="nil"/>
            </w:tcBorders>
            <w:noWrap w:val="0"/>
            <w:vAlign w:val="center"/>
          </w:tcPr>
          <w:p w14:paraId="58CC42C7">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附表：武隆关口一号墓出土木牍仿制清单</w:t>
            </w:r>
          </w:p>
        </w:tc>
      </w:tr>
      <w:tr w14:paraId="7654F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736" w:type="dxa"/>
            <w:vMerge w:val="restart"/>
            <w:tcBorders>
              <w:top w:val="single" w:color="000000" w:sz="4" w:space="0"/>
              <w:left w:val="single" w:color="000000" w:sz="4" w:space="0"/>
              <w:bottom w:val="single" w:color="000000" w:sz="4" w:space="0"/>
              <w:right w:val="single" w:color="000000" w:sz="4" w:space="0"/>
            </w:tcBorders>
            <w:noWrap/>
            <w:vAlign w:val="center"/>
          </w:tcPr>
          <w:p w14:paraId="1D7087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序号</w:t>
            </w:r>
          </w:p>
        </w:tc>
        <w:tc>
          <w:tcPr>
            <w:tcW w:w="1041" w:type="dxa"/>
            <w:vMerge w:val="restart"/>
            <w:tcBorders>
              <w:top w:val="single" w:color="000000" w:sz="4" w:space="0"/>
              <w:left w:val="single" w:color="000000" w:sz="4" w:space="0"/>
              <w:bottom w:val="single" w:color="000000" w:sz="4" w:space="0"/>
              <w:right w:val="single" w:color="000000" w:sz="4" w:space="0"/>
            </w:tcBorders>
            <w:noWrap/>
            <w:vAlign w:val="center"/>
          </w:tcPr>
          <w:p w14:paraId="60B4B99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名称</w:t>
            </w:r>
          </w:p>
        </w:tc>
        <w:tc>
          <w:tcPr>
            <w:tcW w:w="1152" w:type="dxa"/>
            <w:vMerge w:val="restart"/>
            <w:tcBorders>
              <w:top w:val="single" w:color="000000" w:sz="4" w:space="0"/>
              <w:left w:val="single" w:color="000000" w:sz="4" w:space="0"/>
              <w:bottom w:val="single" w:color="000000" w:sz="4" w:space="0"/>
              <w:right w:val="single" w:color="000000" w:sz="4" w:space="0"/>
            </w:tcBorders>
            <w:noWrap/>
            <w:vAlign w:val="center"/>
          </w:tcPr>
          <w:p w14:paraId="5D7765F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文物编号</w:t>
            </w:r>
          </w:p>
        </w:tc>
        <w:tc>
          <w:tcPr>
            <w:tcW w:w="758" w:type="dxa"/>
            <w:vMerge w:val="restart"/>
            <w:tcBorders>
              <w:top w:val="single" w:color="000000" w:sz="4" w:space="0"/>
              <w:left w:val="single" w:color="000000" w:sz="4" w:space="0"/>
              <w:bottom w:val="single" w:color="000000" w:sz="4" w:space="0"/>
              <w:right w:val="single" w:color="000000" w:sz="4" w:space="0"/>
            </w:tcBorders>
            <w:noWrap/>
            <w:vAlign w:val="center"/>
          </w:tcPr>
          <w:p w14:paraId="50BDC66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数量</w:t>
            </w:r>
          </w:p>
        </w:tc>
        <w:tc>
          <w:tcPr>
            <w:tcW w:w="2496" w:type="dxa"/>
            <w:gridSpan w:val="3"/>
            <w:tcBorders>
              <w:top w:val="single" w:color="000000" w:sz="4" w:space="0"/>
              <w:left w:val="single" w:color="000000" w:sz="4" w:space="0"/>
              <w:bottom w:val="single" w:color="000000" w:sz="4" w:space="0"/>
              <w:right w:val="single" w:color="000000" w:sz="4" w:space="0"/>
            </w:tcBorders>
            <w:noWrap w:val="0"/>
            <w:vAlign w:val="center"/>
          </w:tcPr>
          <w:p w14:paraId="4EC57F0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保护后尺寸（cm）</w:t>
            </w:r>
          </w:p>
        </w:tc>
        <w:tc>
          <w:tcPr>
            <w:tcW w:w="1044" w:type="dxa"/>
            <w:vMerge w:val="restart"/>
            <w:tcBorders>
              <w:top w:val="single" w:color="000000" w:sz="4" w:space="0"/>
              <w:left w:val="single" w:color="000000" w:sz="4" w:space="0"/>
              <w:bottom w:val="single" w:color="000000" w:sz="4" w:space="0"/>
              <w:right w:val="single" w:color="000000" w:sz="4" w:space="0"/>
            </w:tcBorders>
            <w:noWrap w:val="0"/>
            <w:vAlign w:val="center"/>
          </w:tcPr>
          <w:p w14:paraId="4E72972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保护后重量（g）</w:t>
            </w:r>
          </w:p>
        </w:tc>
        <w:tc>
          <w:tcPr>
            <w:tcW w:w="1536" w:type="dxa"/>
            <w:vMerge w:val="restart"/>
            <w:tcBorders>
              <w:top w:val="single" w:color="000000" w:sz="4" w:space="0"/>
              <w:left w:val="single" w:color="000000" w:sz="4" w:space="0"/>
              <w:bottom w:val="single" w:color="000000" w:sz="4" w:space="0"/>
              <w:right w:val="single" w:color="000000" w:sz="4" w:space="0"/>
            </w:tcBorders>
            <w:noWrap w:val="0"/>
            <w:vAlign w:val="center"/>
          </w:tcPr>
          <w:p w14:paraId="59131F0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文字情况</w:t>
            </w:r>
          </w:p>
        </w:tc>
        <w:tc>
          <w:tcPr>
            <w:tcW w:w="3780" w:type="dxa"/>
            <w:vMerge w:val="restart"/>
            <w:tcBorders>
              <w:top w:val="single" w:color="000000" w:sz="4" w:space="0"/>
              <w:left w:val="single" w:color="000000" w:sz="4" w:space="0"/>
              <w:bottom w:val="single" w:color="000000" w:sz="4" w:space="0"/>
              <w:right w:val="single" w:color="000000" w:sz="4" w:space="0"/>
            </w:tcBorders>
            <w:noWrap/>
            <w:vAlign w:val="center"/>
          </w:tcPr>
          <w:p w14:paraId="0A01C55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图片</w:t>
            </w:r>
          </w:p>
        </w:tc>
        <w:tc>
          <w:tcPr>
            <w:tcW w:w="948" w:type="dxa"/>
            <w:vMerge w:val="restart"/>
            <w:tcBorders>
              <w:top w:val="single" w:color="000000" w:sz="4" w:space="0"/>
              <w:left w:val="single" w:color="000000" w:sz="4" w:space="0"/>
              <w:bottom w:val="single" w:color="000000" w:sz="4" w:space="0"/>
              <w:right w:val="single" w:color="000000" w:sz="4" w:space="0"/>
            </w:tcBorders>
            <w:noWrap/>
            <w:vAlign w:val="center"/>
          </w:tcPr>
          <w:p w14:paraId="5FA4BD4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复制数量</w:t>
            </w:r>
          </w:p>
        </w:tc>
      </w:tr>
      <w:tr w14:paraId="58DCF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736" w:type="dxa"/>
            <w:vMerge w:val="continue"/>
            <w:tcBorders>
              <w:top w:val="single" w:color="000000" w:sz="4" w:space="0"/>
              <w:left w:val="single" w:color="000000" w:sz="4" w:space="0"/>
              <w:bottom w:val="single" w:color="000000" w:sz="4" w:space="0"/>
              <w:right w:val="single" w:color="000000" w:sz="4" w:space="0"/>
            </w:tcBorders>
            <w:noWrap/>
            <w:vAlign w:val="center"/>
          </w:tcPr>
          <w:p w14:paraId="2CD0B021">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b/>
                <w:bCs/>
                <w:i w:val="0"/>
                <w:iCs w:val="0"/>
                <w:color w:val="auto"/>
                <w:sz w:val="22"/>
                <w:szCs w:val="22"/>
                <w:u w:val="none"/>
              </w:rPr>
            </w:pPr>
          </w:p>
        </w:tc>
        <w:tc>
          <w:tcPr>
            <w:tcW w:w="1041" w:type="dxa"/>
            <w:vMerge w:val="continue"/>
            <w:tcBorders>
              <w:top w:val="single" w:color="000000" w:sz="4" w:space="0"/>
              <w:left w:val="single" w:color="000000" w:sz="4" w:space="0"/>
              <w:bottom w:val="single" w:color="000000" w:sz="4" w:space="0"/>
              <w:right w:val="single" w:color="000000" w:sz="4" w:space="0"/>
            </w:tcBorders>
            <w:noWrap/>
            <w:vAlign w:val="center"/>
          </w:tcPr>
          <w:p w14:paraId="43BB5C0B">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b/>
                <w:bCs/>
                <w:i w:val="0"/>
                <w:iCs w:val="0"/>
                <w:color w:val="auto"/>
                <w:sz w:val="22"/>
                <w:szCs w:val="22"/>
                <w:u w:val="none"/>
              </w:rPr>
            </w:pPr>
          </w:p>
        </w:tc>
        <w:tc>
          <w:tcPr>
            <w:tcW w:w="1152" w:type="dxa"/>
            <w:vMerge w:val="continue"/>
            <w:tcBorders>
              <w:top w:val="single" w:color="000000" w:sz="4" w:space="0"/>
              <w:left w:val="single" w:color="000000" w:sz="4" w:space="0"/>
              <w:bottom w:val="single" w:color="000000" w:sz="4" w:space="0"/>
              <w:right w:val="single" w:color="000000" w:sz="4" w:space="0"/>
            </w:tcBorders>
            <w:noWrap/>
            <w:vAlign w:val="center"/>
          </w:tcPr>
          <w:p w14:paraId="532EEA13">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b/>
                <w:bCs/>
                <w:i w:val="0"/>
                <w:iCs w:val="0"/>
                <w:color w:val="auto"/>
                <w:sz w:val="22"/>
                <w:szCs w:val="22"/>
                <w:u w:val="none"/>
              </w:rPr>
            </w:pPr>
          </w:p>
        </w:tc>
        <w:tc>
          <w:tcPr>
            <w:tcW w:w="758" w:type="dxa"/>
            <w:vMerge w:val="continue"/>
            <w:tcBorders>
              <w:top w:val="single" w:color="000000" w:sz="4" w:space="0"/>
              <w:left w:val="single" w:color="000000" w:sz="4" w:space="0"/>
              <w:bottom w:val="single" w:color="000000" w:sz="4" w:space="0"/>
              <w:right w:val="single" w:color="000000" w:sz="4" w:space="0"/>
            </w:tcBorders>
            <w:noWrap/>
            <w:vAlign w:val="center"/>
          </w:tcPr>
          <w:p w14:paraId="1C97571E">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b/>
                <w:bCs/>
                <w:i w:val="0"/>
                <w:iCs w:val="0"/>
                <w:color w:val="auto"/>
                <w:sz w:val="22"/>
                <w:szCs w:val="22"/>
                <w:u w:val="none"/>
              </w:rPr>
            </w:pP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3F93B7C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长</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1235874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宽</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2BEB0EC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厚</w:t>
            </w:r>
          </w:p>
        </w:tc>
        <w:tc>
          <w:tcPr>
            <w:tcW w:w="104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3511E3">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b/>
                <w:bCs/>
                <w:i w:val="0"/>
                <w:iCs w:val="0"/>
                <w:color w:val="auto"/>
                <w:sz w:val="22"/>
                <w:szCs w:val="22"/>
                <w:u w:val="none"/>
              </w:rPr>
            </w:pPr>
          </w:p>
        </w:tc>
        <w:tc>
          <w:tcPr>
            <w:tcW w:w="15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A0D463">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b/>
                <w:bCs/>
                <w:i w:val="0"/>
                <w:iCs w:val="0"/>
                <w:color w:val="auto"/>
                <w:sz w:val="22"/>
                <w:szCs w:val="22"/>
                <w:u w:val="none"/>
              </w:rPr>
            </w:pPr>
          </w:p>
        </w:tc>
        <w:tc>
          <w:tcPr>
            <w:tcW w:w="3780" w:type="dxa"/>
            <w:vMerge w:val="continue"/>
            <w:tcBorders>
              <w:top w:val="single" w:color="000000" w:sz="4" w:space="0"/>
              <w:left w:val="single" w:color="000000" w:sz="4" w:space="0"/>
              <w:bottom w:val="single" w:color="000000" w:sz="4" w:space="0"/>
              <w:right w:val="single" w:color="000000" w:sz="4" w:space="0"/>
            </w:tcBorders>
            <w:noWrap/>
            <w:vAlign w:val="center"/>
          </w:tcPr>
          <w:p w14:paraId="381C370B">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b/>
                <w:bCs/>
                <w:i w:val="0"/>
                <w:iCs w:val="0"/>
                <w:color w:val="auto"/>
                <w:sz w:val="22"/>
                <w:szCs w:val="22"/>
                <w:u w:val="none"/>
              </w:rPr>
            </w:pPr>
          </w:p>
        </w:tc>
        <w:tc>
          <w:tcPr>
            <w:tcW w:w="948" w:type="dxa"/>
            <w:vMerge w:val="continue"/>
            <w:tcBorders>
              <w:top w:val="single" w:color="000000" w:sz="4" w:space="0"/>
              <w:left w:val="single" w:color="000000" w:sz="4" w:space="0"/>
              <w:bottom w:val="single" w:color="000000" w:sz="4" w:space="0"/>
              <w:right w:val="single" w:color="000000" w:sz="4" w:space="0"/>
            </w:tcBorders>
            <w:noWrap/>
            <w:vAlign w:val="center"/>
          </w:tcPr>
          <w:p w14:paraId="76F3E75F">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iCs w:val="0"/>
                <w:color w:val="auto"/>
                <w:sz w:val="22"/>
                <w:szCs w:val="22"/>
                <w:u w:val="none"/>
              </w:rPr>
            </w:pPr>
          </w:p>
        </w:tc>
      </w:tr>
      <w:tr w14:paraId="1AF40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57951D2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0D7DBE7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木牍</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0364AFC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M1：75</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202F2A7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1件</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0962688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14.1</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483306A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3.3</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2D4A1F2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0.2</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3E70A51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9.75</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14:paraId="74AE203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正面单个“傳”字，背面无字</w:t>
            </w:r>
          </w:p>
        </w:tc>
        <w:tc>
          <w:tcPr>
            <w:tcW w:w="3780" w:type="dxa"/>
            <w:tcBorders>
              <w:top w:val="single" w:color="000000" w:sz="4" w:space="0"/>
              <w:left w:val="single" w:color="000000" w:sz="4" w:space="0"/>
              <w:bottom w:val="single" w:color="000000" w:sz="4" w:space="0"/>
              <w:right w:val="single" w:color="000000" w:sz="4" w:space="0"/>
            </w:tcBorders>
            <w:noWrap/>
            <w:vAlign w:val="center"/>
          </w:tcPr>
          <w:p w14:paraId="54BDD253">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433705</wp:posOffset>
                  </wp:positionH>
                  <wp:positionV relativeFrom="paragraph">
                    <wp:posOffset>22860</wp:posOffset>
                  </wp:positionV>
                  <wp:extent cx="1562735" cy="389255"/>
                  <wp:effectExtent l="0" t="0" r="18415" b="10795"/>
                  <wp:wrapNone/>
                  <wp:docPr id="10" name="图片_2"/>
                  <wp:cNvGraphicFramePr/>
                  <a:graphic xmlns:a="http://schemas.openxmlformats.org/drawingml/2006/main">
                    <a:graphicData uri="http://schemas.openxmlformats.org/drawingml/2006/picture">
                      <pic:pic xmlns:pic="http://schemas.openxmlformats.org/drawingml/2006/picture">
                        <pic:nvPicPr>
                          <pic:cNvPr id="10" name="图片_2"/>
                          <pic:cNvPicPr/>
                        </pic:nvPicPr>
                        <pic:blipFill>
                          <a:blip r:embed="rId7"/>
                          <a:stretch>
                            <a:fillRect/>
                          </a:stretch>
                        </pic:blipFill>
                        <pic:spPr>
                          <a:xfrm>
                            <a:off x="0" y="0"/>
                            <a:ext cx="1562735" cy="389255"/>
                          </a:xfrm>
                          <a:prstGeom prst="rect">
                            <a:avLst/>
                          </a:prstGeom>
                          <a:noFill/>
                          <a:ln>
                            <a:noFill/>
                          </a:ln>
                        </pic:spPr>
                      </pic:pic>
                    </a:graphicData>
                  </a:graphic>
                </wp:anchor>
              </w:drawing>
            </w:r>
          </w:p>
        </w:tc>
        <w:tc>
          <w:tcPr>
            <w:tcW w:w="948" w:type="dxa"/>
            <w:tcBorders>
              <w:top w:val="single" w:color="000000" w:sz="4" w:space="0"/>
              <w:left w:val="single" w:color="000000" w:sz="4" w:space="0"/>
              <w:bottom w:val="single" w:color="000000" w:sz="4" w:space="0"/>
              <w:right w:val="single" w:color="000000" w:sz="4" w:space="0"/>
            </w:tcBorders>
            <w:noWrap/>
            <w:vAlign w:val="center"/>
          </w:tcPr>
          <w:p w14:paraId="47E01B3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2件</w:t>
            </w:r>
          </w:p>
        </w:tc>
      </w:tr>
      <w:tr w14:paraId="28E2F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2"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3A3BDBD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02DFDF3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木牍</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4587D54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M1：85-1</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5DE1DB3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1件</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46A10B4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23.6</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2E341AB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4.4</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04A8983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0.3</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474682A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25.91</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14:paraId="574541D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正面为告地书，背面无字</w:t>
            </w:r>
          </w:p>
        </w:tc>
        <w:tc>
          <w:tcPr>
            <w:tcW w:w="3780" w:type="dxa"/>
            <w:tcBorders>
              <w:top w:val="single" w:color="000000" w:sz="4" w:space="0"/>
              <w:left w:val="single" w:color="000000" w:sz="4" w:space="0"/>
              <w:bottom w:val="single" w:color="000000" w:sz="4" w:space="0"/>
              <w:right w:val="single" w:color="000000" w:sz="4" w:space="0"/>
            </w:tcBorders>
            <w:noWrap/>
            <w:vAlign w:val="center"/>
          </w:tcPr>
          <w:p w14:paraId="3C868AAB">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single" w:color="000000" w:sz="4" w:space="0"/>
                <w:lang w:val="en-US" w:eastAsia="zh-CN" w:bidi="ar"/>
              </w:rPr>
              <w:drawing>
                <wp:anchor distT="0" distB="0" distL="114300" distR="114300" simplePos="0" relativeHeight="251661312" behindDoc="0" locked="0" layoutInCell="1" allowOverlap="1">
                  <wp:simplePos x="0" y="0"/>
                  <wp:positionH relativeFrom="column">
                    <wp:posOffset>22860</wp:posOffset>
                  </wp:positionH>
                  <wp:positionV relativeFrom="paragraph">
                    <wp:posOffset>506095</wp:posOffset>
                  </wp:positionV>
                  <wp:extent cx="2248535" cy="509905"/>
                  <wp:effectExtent l="0" t="0" r="18415" b="4445"/>
                  <wp:wrapNone/>
                  <wp:docPr id="12" name="图片_5"/>
                  <wp:cNvGraphicFramePr/>
                  <a:graphic xmlns:a="http://schemas.openxmlformats.org/drawingml/2006/main">
                    <a:graphicData uri="http://schemas.openxmlformats.org/drawingml/2006/picture">
                      <pic:pic xmlns:pic="http://schemas.openxmlformats.org/drawingml/2006/picture">
                        <pic:nvPicPr>
                          <pic:cNvPr id="12" name="图片_5"/>
                          <pic:cNvPicPr/>
                        </pic:nvPicPr>
                        <pic:blipFill>
                          <a:blip r:embed="rId8"/>
                          <a:stretch>
                            <a:fillRect/>
                          </a:stretch>
                        </pic:blipFill>
                        <pic:spPr>
                          <a:xfrm>
                            <a:off x="0" y="0"/>
                            <a:ext cx="2248535" cy="509905"/>
                          </a:xfrm>
                          <a:prstGeom prst="rect">
                            <a:avLst/>
                          </a:prstGeom>
                          <a:noFill/>
                          <a:ln>
                            <a:noFill/>
                          </a:ln>
                        </pic:spPr>
                      </pic:pic>
                    </a:graphicData>
                  </a:graphic>
                </wp:anchor>
              </w:drawing>
            </w:r>
            <w:r>
              <w:rPr>
                <w:rFonts w:hint="eastAsia" w:ascii="宋体" w:hAnsi="宋体" w:eastAsia="宋体" w:cs="宋体"/>
                <w:i w:val="0"/>
                <w:iCs w:val="0"/>
                <w:color w:val="auto"/>
                <w:kern w:val="0"/>
                <w:sz w:val="22"/>
                <w:szCs w:val="22"/>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67945</wp:posOffset>
                  </wp:positionH>
                  <wp:positionV relativeFrom="paragraph">
                    <wp:posOffset>22860</wp:posOffset>
                  </wp:positionV>
                  <wp:extent cx="2216150" cy="512445"/>
                  <wp:effectExtent l="0" t="0" r="12700" b="1905"/>
                  <wp:wrapNone/>
                  <wp:docPr id="11" name="图片_3"/>
                  <wp:cNvGraphicFramePr/>
                  <a:graphic xmlns:a="http://schemas.openxmlformats.org/drawingml/2006/main">
                    <a:graphicData uri="http://schemas.openxmlformats.org/drawingml/2006/picture">
                      <pic:pic xmlns:pic="http://schemas.openxmlformats.org/drawingml/2006/picture">
                        <pic:nvPicPr>
                          <pic:cNvPr id="11" name="图片_3"/>
                          <pic:cNvPicPr/>
                        </pic:nvPicPr>
                        <pic:blipFill>
                          <a:blip r:embed="rId9"/>
                          <a:stretch>
                            <a:fillRect/>
                          </a:stretch>
                        </pic:blipFill>
                        <pic:spPr>
                          <a:xfrm>
                            <a:off x="0" y="0"/>
                            <a:ext cx="2216150" cy="512445"/>
                          </a:xfrm>
                          <a:prstGeom prst="rect">
                            <a:avLst/>
                          </a:prstGeom>
                          <a:noFill/>
                          <a:ln>
                            <a:noFill/>
                          </a:ln>
                        </pic:spPr>
                      </pic:pic>
                    </a:graphicData>
                  </a:graphic>
                </wp:anchor>
              </w:drawing>
            </w:r>
          </w:p>
        </w:tc>
        <w:tc>
          <w:tcPr>
            <w:tcW w:w="948" w:type="dxa"/>
            <w:tcBorders>
              <w:top w:val="single" w:color="000000" w:sz="4" w:space="0"/>
              <w:left w:val="single" w:color="000000" w:sz="4" w:space="0"/>
              <w:bottom w:val="single" w:color="000000" w:sz="4" w:space="0"/>
              <w:right w:val="single" w:color="000000" w:sz="4" w:space="0"/>
            </w:tcBorders>
            <w:noWrap/>
            <w:vAlign w:val="center"/>
          </w:tcPr>
          <w:p w14:paraId="7DD8085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2件</w:t>
            </w:r>
          </w:p>
        </w:tc>
      </w:tr>
      <w:tr w14:paraId="0FC0B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trPr>
        <w:tc>
          <w:tcPr>
            <w:tcW w:w="736" w:type="dxa"/>
            <w:vMerge w:val="restart"/>
            <w:tcBorders>
              <w:top w:val="single" w:color="000000" w:sz="4" w:space="0"/>
              <w:left w:val="single" w:color="000000" w:sz="4" w:space="0"/>
              <w:bottom w:val="single" w:color="000000" w:sz="4" w:space="0"/>
              <w:right w:val="single" w:color="000000" w:sz="4" w:space="0"/>
            </w:tcBorders>
            <w:noWrap w:val="0"/>
            <w:vAlign w:val="center"/>
          </w:tcPr>
          <w:p w14:paraId="4B294C7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0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D0018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木牍</w:t>
            </w:r>
          </w:p>
        </w:tc>
        <w:tc>
          <w:tcPr>
            <w:tcW w:w="11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E12487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M1：85-2</w:t>
            </w:r>
          </w:p>
        </w:tc>
        <w:tc>
          <w:tcPr>
            <w:tcW w:w="758" w:type="dxa"/>
            <w:vMerge w:val="restart"/>
            <w:tcBorders>
              <w:top w:val="single" w:color="000000" w:sz="4" w:space="0"/>
              <w:left w:val="single" w:color="000000" w:sz="4" w:space="0"/>
              <w:bottom w:val="single" w:color="000000" w:sz="4" w:space="0"/>
              <w:right w:val="single" w:color="000000" w:sz="4" w:space="0"/>
            </w:tcBorders>
            <w:noWrap w:val="0"/>
            <w:vAlign w:val="center"/>
          </w:tcPr>
          <w:p w14:paraId="78708B0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1件</w:t>
            </w:r>
          </w:p>
        </w:tc>
        <w:tc>
          <w:tcPr>
            <w:tcW w:w="8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22260A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23.4</w:t>
            </w:r>
          </w:p>
        </w:tc>
        <w:tc>
          <w:tcPr>
            <w:tcW w:w="816" w:type="dxa"/>
            <w:vMerge w:val="restart"/>
            <w:tcBorders>
              <w:top w:val="single" w:color="000000" w:sz="4" w:space="0"/>
              <w:left w:val="single" w:color="000000" w:sz="4" w:space="0"/>
              <w:bottom w:val="single" w:color="000000" w:sz="4" w:space="0"/>
              <w:right w:val="single" w:color="000000" w:sz="4" w:space="0"/>
            </w:tcBorders>
            <w:noWrap w:val="0"/>
            <w:vAlign w:val="center"/>
          </w:tcPr>
          <w:p w14:paraId="260FB89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4.7</w:t>
            </w:r>
          </w:p>
        </w:tc>
        <w:tc>
          <w:tcPr>
            <w:tcW w:w="828" w:type="dxa"/>
            <w:vMerge w:val="restart"/>
            <w:tcBorders>
              <w:top w:val="single" w:color="000000" w:sz="4" w:space="0"/>
              <w:left w:val="single" w:color="000000" w:sz="4" w:space="0"/>
              <w:bottom w:val="single" w:color="000000" w:sz="4" w:space="0"/>
              <w:right w:val="single" w:color="000000" w:sz="4" w:space="0"/>
            </w:tcBorders>
            <w:noWrap w:val="0"/>
            <w:vAlign w:val="center"/>
          </w:tcPr>
          <w:p w14:paraId="3ED9DA2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0.3</w:t>
            </w:r>
          </w:p>
        </w:tc>
        <w:tc>
          <w:tcPr>
            <w:tcW w:w="1044" w:type="dxa"/>
            <w:vMerge w:val="restart"/>
            <w:tcBorders>
              <w:top w:val="single" w:color="000000" w:sz="4" w:space="0"/>
              <w:left w:val="single" w:color="000000" w:sz="4" w:space="0"/>
              <w:bottom w:val="single" w:color="000000" w:sz="4" w:space="0"/>
              <w:right w:val="single" w:color="000000" w:sz="4" w:space="0"/>
            </w:tcBorders>
            <w:noWrap w:val="0"/>
            <w:vAlign w:val="center"/>
          </w:tcPr>
          <w:p w14:paraId="108B2E3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22.30</w:t>
            </w:r>
          </w:p>
        </w:tc>
        <w:tc>
          <w:tcPr>
            <w:tcW w:w="1536" w:type="dxa"/>
            <w:vMerge w:val="restart"/>
            <w:tcBorders>
              <w:top w:val="single" w:color="000000" w:sz="4" w:space="0"/>
              <w:left w:val="single" w:color="000000" w:sz="4" w:space="0"/>
              <w:bottom w:val="single" w:color="000000" w:sz="4" w:space="0"/>
              <w:right w:val="single" w:color="000000" w:sz="4" w:space="0"/>
            </w:tcBorders>
            <w:noWrap w:val="0"/>
            <w:vAlign w:val="center"/>
          </w:tcPr>
          <w:p w14:paraId="05000BD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正面和背面均有字</w:t>
            </w:r>
          </w:p>
        </w:tc>
        <w:tc>
          <w:tcPr>
            <w:tcW w:w="3780" w:type="dxa"/>
            <w:tcBorders>
              <w:top w:val="single" w:color="000000" w:sz="4" w:space="0"/>
              <w:left w:val="single" w:color="000000" w:sz="4" w:space="0"/>
              <w:bottom w:val="single" w:color="000000" w:sz="4" w:space="0"/>
              <w:right w:val="single" w:color="000000" w:sz="4" w:space="0"/>
            </w:tcBorders>
            <w:noWrap/>
            <w:vAlign w:val="center"/>
          </w:tcPr>
          <w:p w14:paraId="7BD683C1">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iCs w:val="0"/>
                <w:color w:val="auto"/>
                <w:sz w:val="22"/>
                <w:szCs w:val="22"/>
                <w:u w:val="none"/>
              </w:rPr>
            </w:pPr>
          </w:p>
        </w:tc>
        <w:tc>
          <w:tcPr>
            <w:tcW w:w="948" w:type="dxa"/>
            <w:vMerge w:val="restart"/>
            <w:tcBorders>
              <w:top w:val="single" w:color="000000" w:sz="4" w:space="0"/>
              <w:left w:val="single" w:color="000000" w:sz="4" w:space="0"/>
              <w:bottom w:val="single" w:color="000000" w:sz="4" w:space="0"/>
              <w:right w:val="single" w:color="000000" w:sz="4" w:space="0"/>
            </w:tcBorders>
            <w:noWrap/>
            <w:vAlign w:val="center"/>
          </w:tcPr>
          <w:p w14:paraId="48A8B37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2件</w:t>
            </w:r>
          </w:p>
        </w:tc>
      </w:tr>
      <w:tr w14:paraId="655A8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7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33A6F2">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iCs w:val="0"/>
                <w:color w:val="auto"/>
                <w:sz w:val="22"/>
                <w:szCs w:val="22"/>
                <w:u w:val="none"/>
              </w:rPr>
            </w:pPr>
          </w:p>
        </w:tc>
        <w:tc>
          <w:tcPr>
            <w:tcW w:w="10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7DF783">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iCs w:val="0"/>
                <w:color w:val="auto"/>
                <w:sz w:val="22"/>
                <w:szCs w:val="22"/>
                <w:u w:val="none"/>
              </w:rPr>
            </w:pPr>
          </w:p>
        </w:tc>
        <w:tc>
          <w:tcPr>
            <w:tcW w:w="11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E97D6A">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iCs w:val="0"/>
                <w:color w:val="auto"/>
                <w:sz w:val="22"/>
                <w:szCs w:val="22"/>
                <w:u w:val="none"/>
              </w:rPr>
            </w:pPr>
          </w:p>
        </w:tc>
        <w:tc>
          <w:tcPr>
            <w:tcW w:w="7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7BF661">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iCs w:val="0"/>
                <w:color w:val="auto"/>
                <w:sz w:val="22"/>
                <w:szCs w:val="22"/>
                <w:u w:val="none"/>
              </w:rPr>
            </w:pPr>
          </w:p>
        </w:tc>
        <w:tc>
          <w:tcPr>
            <w:tcW w:w="8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9361AA">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iCs w:val="0"/>
                <w:color w:val="auto"/>
                <w:sz w:val="22"/>
                <w:szCs w:val="22"/>
                <w:u w:val="none"/>
              </w:rPr>
            </w:pPr>
          </w:p>
        </w:tc>
        <w:tc>
          <w:tcPr>
            <w:tcW w:w="8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B69BFD">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iCs w:val="0"/>
                <w:color w:val="auto"/>
                <w:sz w:val="22"/>
                <w:szCs w:val="22"/>
                <w:u w:val="none"/>
              </w:rPr>
            </w:pPr>
          </w:p>
        </w:tc>
        <w:tc>
          <w:tcPr>
            <w:tcW w:w="8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D5388D">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iCs w:val="0"/>
                <w:color w:val="auto"/>
                <w:sz w:val="22"/>
                <w:szCs w:val="22"/>
                <w:u w:val="none"/>
              </w:rPr>
            </w:pPr>
          </w:p>
        </w:tc>
        <w:tc>
          <w:tcPr>
            <w:tcW w:w="104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A7C7CF">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iCs w:val="0"/>
                <w:color w:val="auto"/>
                <w:sz w:val="22"/>
                <w:szCs w:val="22"/>
                <w:u w:val="none"/>
              </w:rPr>
            </w:pPr>
          </w:p>
        </w:tc>
        <w:tc>
          <w:tcPr>
            <w:tcW w:w="15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1F76FF">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iCs w:val="0"/>
                <w:color w:val="auto"/>
                <w:sz w:val="22"/>
                <w:szCs w:val="22"/>
                <w:u w:val="none"/>
              </w:rPr>
            </w:pPr>
          </w:p>
        </w:tc>
        <w:tc>
          <w:tcPr>
            <w:tcW w:w="3780" w:type="dxa"/>
            <w:tcBorders>
              <w:top w:val="single" w:color="000000" w:sz="4" w:space="0"/>
              <w:left w:val="single" w:color="000000" w:sz="4" w:space="0"/>
              <w:bottom w:val="single" w:color="000000" w:sz="4" w:space="0"/>
              <w:right w:val="single" w:color="000000" w:sz="4" w:space="0"/>
            </w:tcBorders>
            <w:noWrap/>
            <w:vAlign w:val="center"/>
          </w:tcPr>
          <w:p w14:paraId="424DD9C9">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single" w:color="000000" w:sz="4" w:space="0"/>
                <w:lang w:val="en-US" w:eastAsia="zh-CN" w:bidi="ar"/>
              </w:rPr>
              <w:drawing>
                <wp:anchor distT="0" distB="0" distL="114300" distR="114300" simplePos="0" relativeHeight="251663360" behindDoc="0" locked="0" layoutInCell="1" allowOverlap="1">
                  <wp:simplePos x="0" y="0"/>
                  <wp:positionH relativeFrom="column">
                    <wp:posOffset>83185</wp:posOffset>
                  </wp:positionH>
                  <wp:positionV relativeFrom="paragraph">
                    <wp:posOffset>549275</wp:posOffset>
                  </wp:positionV>
                  <wp:extent cx="2194560" cy="528955"/>
                  <wp:effectExtent l="0" t="0" r="0" b="4445"/>
                  <wp:wrapNone/>
                  <wp:docPr id="15" name="图片_6"/>
                  <wp:cNvGraphicFramePr/>
                  <a:graphic xmlns:a="http://schemas.openxmlformats.org/drawingml/2006/main">
                    <a:graphicData uri="http://schemas.openxmlformats.org/drawingml/2006/picture">
                      <pic:pic xmlns:pic="http://schemas.openxmlformats.org/drawingml/2006/picture">
                        <pic:nvPicPr>
                          <pic:cNvPr id="15" name="图片_6"/>
                          <pic:cNvPicPr/>
                        </pic:nvPicPr>
                        <pic:blipFill>
                          <a:blip r:embed="rId10"/>
                          <a:stretch>
                            <a:fillRect/>
                          </a:stretch>
                        </pic:blipFill>
                        <pic:spPr>
                          <a:xfrm>
                            <a:off x="0" y="0"/>
                            <a:ext cx="2194560" cy="528955"/>
                          </a:xfrm>
                          <a:prstGeom prst="rect">
                            <a:avLst/>
                          </a:prstGeom>
                          <a:noFill/>
                          <a:ln>
                            <a:noFill/>
                          </a:ln>
                        </pic:spPr>
                      </pic:pic>
                    </a:graphicData>
                  </a:graphic>
                </wp:anchor>
              </w:drawing>
            </w:r>
            <w:r>
              <w:rPr>
                <w:rFonts w:hint="eastAsia" w:ascii="宋体" w:hAnsi="宋体" w:eastAsia="宋体" w:cs="宋体"/>
                <w:i w:val="0"/>
                <w:iCs w:val="0"/>
                <w:color w:val="auto"/>
                <w:kern w:val="0"/>
                <w:sz w:val="22"/>
                <w:szCs w:val="22"/>
                <w:u w:val="none"/>
                <w:bdr w:val="single" w:color="000000" w:sz="4" w:space="0"/>
                <w:lang w:val="en-US" w:eastAsia="zh-CN" w:bidi="ar"/>
              </w:rPr>
              <w:drawing>
                <wp:anchor distT="0" distB="0" distL="114300" distR="114300" simplePos="0" relativeHeight="251662336" behindDoc="0" locked="0" layoutInCell="1" allowOverlap="1">
                  <wp:simplePos x="0" y="0"/>
                  <wp:positionH relativeFrom="column">
                    <wp:posOffset>53340</wp:posOffset>
                  </wp:positionH>
                  <wp:positionV relativeFrom="paragraph">
                    <wp:posOffset>45720</wp:posOffset>
                  </wp:positionV>
                  <wp:extent cx="2270760" cy="490220"/>
                  <wp:effectExtent l="0" t="0" r="15240" b="5080"/>
                  <wp:wrapNone/>
                  <wp:docPr id="13" name="图片_9"/>
                  <wp:cNvGraphicFramePr/>
                  <a:graphic xmlns:a="http://schemas.openxmlformats.org/drawingml/2006/main">
                    <a:graphicData uri="http://schemas.openxmlformats.org/drawingml/2006/picture">
                      <pic:pic xmlns:pic="http://schemas.openxmlformats.org/drawingml/2006/picture">
                        <pic:nvPicPr>
                          <pic:cNvPr id="13" name="图片_9"/>
                          <pic:cNvPicPr/>
                        </pic:nvPicPr>
                        <pic:blipFill>
                          <a:blip r:embed="rId11"/>
                          <a:stretch>
                            <a:fillRect/>
                          </a:stretch>
                        </pic:blipFill>
                        <pic:spPr>
                          <a:xfrm>
                            <a:off x="0" y="0"/>
                            <a:ext cx="2270760" cy="490220"/>
                          </a:xfrm>
                          <a:prstGeom prst="rect">
                            <a:avLst/>
                          </a:prstGeom>
                          <a:noFill/>
                          <a:ln>
                            <a:noFill/>
                          </a:ln>
                        </pic:spPr>
                      </pic:pic>
                    </a:graphicData>
                  </a:graphic>
                </wp:anchor>
              </w:drawing>
            </w:r>
          </w:p>
        </w:tc>
        <w:tc>
          <w:tcPr>
            <w:tcW w:w="948" w:type="dxa"/>
            <w:vMerge w:val="continue"/>
            <w:tcBorders>
              <w:top w:val="single" w:color="000000" w:sz="4" w:space="0"/>
              <w:left w:val="single" w:color="000000" w:sz="4" w:space="0"/>
              <w:bottom w:val="single" w:color="000000" w:sz="4" w:space="0"/>
              <w:right w:val="single" w:color="000000" w:sz="4" w:space="0"/>
            </w:tcBorders>
            <w:noWrap/>
            <w:vAlign w:val="center"/>
          </w:tcPr>
          <w:p w14:paraId="0E45D46D">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iCs w:val="0"/>
                <w:color w:val="auto"/>
                <w:sz w:val="22"/>
                <w:szCs w:val="22"/>
                <w:u w:val="none"/>
              </w:rPr>
            </w:pPr>
          </w:p>
        </w:tc>
      </w:tr>
      <w:tr w14:paraId="2BA5A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5955D54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584DBCA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木牍</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39D2EAE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M1：129</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11D5AC0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1件</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31121F0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23.6</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181FC04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5.7</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6AB5A6C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0.4</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020A8E0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36.20</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14:paraId="7193845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正面有字，背面无字</w:t>
            </w:r>
          </w:p>
        </w:tc>
        <w:tc>
          <w:tcPr>
            <w:tcW w:w="3780" w:type="dxa"/>
            <w:tcBorders>
              <w:top w:val="single" w:color="000000" w:sz="4" w:space="0"/>
              <w:left w:val="single" w:color="000000" w:sz="4" w:space="0"/>
              <w:bottom w:val="single" w:color="000000" w:sz="4" w:space="0"/>
              <w:right w:val="single" w:color="000000" w:sz="4" w:space="0"/>
            </w:tcBorders>
            <w:noWrap/>
            <w:vAlign w:val="center"/>
          </w:tcPr>
          <w:p w14:paraId="2EB69887">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iCs w:val="0"/>
                <w:color w:val="auto"/>
                <w:sz w:val="22"/>
                <w:szCs w:val="22"/>
                <w:u w:val="none"/>
              </w:rPr>
            </w:pPr>
          </w:p>
        </w:tc>
        <w:tc>
          <w:tcPr>
            <w:tcW w:w="948" w:type="dxa"/>
            <w:tcBorders>
              <w:top w:val="single" w:color="000000" w:sz="4" w:space="0"/>
              <w:left w:val="single" w:color="000000" w:sz="4" w:space="0"/>
              <w:bottom w:val="single" w:color="000000" w:sz="4" w:space="0"/>
              <w:right w:val="single" w:color="000000" w:sz="4" w:space="0"/>
            </w:tcBorders>
            <w:noWrap/>
            <w:vAlign w:val="center"/>
          </w:tcPr>
          <w:p w14:paraId="4B303E1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2件</w:t>
            </w:r>
          </w:p>
        </w:tc>
      </w:tr>
      <w:tr w14:paraId="4C546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2"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2DB82A9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74A5FAF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木牍</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130C1DF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M1：130</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686A3ED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1件</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4FF13FB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23.4</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054C898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5.6</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73FEAC6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0.4</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4C8A984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36.19</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14:paraId="7A71FAC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正面有字，背面无字</w:t>
            </w:r>
          </w:p>
        </w:tc>
        <w:tc>
          <w:tcPr>
            <w:tcW w:w="3780" w:type="dxa"/>
            <w:tcBorders>
              <w:top w:val="single" w:color="000000" w:sz="4" w:space="0"/>
              <w:left w:val="single" w:color="000000" w:sz="4" w:space="0"/>
              <w:bottom w:val="single" w:color="000000" w:sz="4" w:space="0"/>
              <w:right w:val="single" w:color="000000" w:sz="4" w:space="0"/>
            </w:tcBorders>
            <w:noWrap/>
            <w:vAlign w:val="center"/>
          </w:tcPr>
          <w:p w14:paraId="389B0BBF">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single" w:color="000000" w:sz="4" w:space="0"/>
                <w:lang w:val="en-US" w:eastAsia="zh-CN" w:bidi="ar"/>
              </w:rPr>
              <w:drawing>
                <wp:anchor distT="0" distB="0" distL="114300" distR="114300" simplePos="0" relativeHeight="251664384" behindDoc="0" locked="0" layoutInCell="1" allowOverlap="1">
                  <wp:simplePos x="0" y="0"/>
                  <wp:positionH relativeFrom="column">
                    <wp:posOffset>45720</wp:posOffset>
                  </wp:positionH>
                  <wp:positionV relativeFrom="paragraph">
                    <wp:posOffset>-15240</wp:posOffset>
                  </wp:positionV>
                  <wp:extent cx="2232025" cy="564515"/>
                  <wp:effectExtent l="0" t="0" r="8255" b="14605"/>
                  <wp:wrapNone/>
                  <wp:docPr id="14" name="图片_7"/>
                  <wp:cNvGraphicFramePr/>
                  <a:graphic xmlns:a="http://schemas.openxmlformats.org/drawingml/2006/main">
                    <a:graphicData uri="http://schemas.openxmlformats.org/drawingml/2006/picture">
                      <pic:pic xmlns:pic="http://schemas.openxmlformats.org/drawingml/2006/picture">
                        <pic:nvPicPr>
                          <pic:cNvPr id="14" name="图片_7"/>
                          <pic:cNvPicPr/>
                        </pic:nvPicPr>
                        <pic:blipFill>
                          <a:blip r:embed="rId12"/>
                          <a:stretch>
                            <a:fillRect/>
                          </a:stretch>
                        </pic:blipFill>
                        <pic:spPr>
                          <a:xfrm>
                            <a:off x="0" y="0"/>
                            <a:ext cx="2232025" cy="564515"/>
                          </a:xfrm>
                          <a:prstGeom prst="rect">
                            <a:avLst/>
                          </a:prstGeom>
                          <a:noFill/>
                          <a:ln>
                            <a:noFill/>
                          </a:ln>
                        </pic:spPr>
                      </pic:pic>
                    </a:graphicData>
                  </a:graphic>
                </wp:anchor>
              </w:drawing>
            </w:r>
          </w:p>
        </w:tc>
        <w:tc>
          <w:tcPr>
            <w:tcW w:w="948" w:type="dxa"/>
            <w:tcBorders>
              <w:top w:val="single" w:color="000000" w:sz="4" w:space="0"/>
              <w:left w:val="single" w:color="000000" w:sz="4" w:space="0"/>
              <w:bottom w:val="single" w:color="000000" w:sz="4" w:space="0"/>
              <w:right w:val="single" w:color="000000" w:sz="4" w:space="0"/>
            </w:tcBorders>
            <w:noWrap/>
            <w:vAlign w:val="center"/>
          </w:tcPr>
          <w:p w14:paraId="080A443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2件</w:t>
            </w:r>
          </w:p>
        </w:tc>
      </w:tr>
      <w:tr w14:paraId="481F9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4"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53CBB78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43FCBE2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木牍</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5B5D01A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M1：131</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763BED8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1件</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52B722E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23.3</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1266E9D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63D6F6B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0.3</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1BB211D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21.59</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14:paraId="178DC52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正面有字，背面无字</w:t>
            </w:r>
          </w:p>
        </w:tc>
        <w:tc>
          <w:tcPr>
            <w:tcW w:w="3780" w:type="dxa"/>
            <w:tcBorders>
              <w:top w:val="single" w:color="000000" w:sz="4" w:space="0"/>
              <w:left w:val="single" w:color="000000" w:sz="4" w:space="0"/>
              <w:bottom w:val="single" w:color="000000" w:sz="4" w:space="0"/>
              <w:right w:val="single" w:color="000000" w:sz="4" w:space="0"/>
            </w:tcBorders>
            <w:noWrap/>
            <w:vAlign w:val="center"/>
          </w:tcPr>
          <w:p w14:paraId="64DCA6C1">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single" w:color="000000" w:sz="4" w:space="0"/>
                <w:lang w:val="en-US" w:eastAsia="zh-CN" w:bidi="ar"/>
              </w:rPr>
              <w:drawing>
                <wp:anchor distT="0" distB="0" distL="114300" distR="114300" simplePos="0" relativeHeight="251665408" behindDoc="0" locked="0" layoutInCell="1" allowOverlap="1">
                  <wp:simplePos x="0" y="0"/>
                  <wp:positionH relativeFrom="column">
                    <wp:posOffset>76200</wp:posOffset>
                  </wp:positionH>
                  <wp:positionV relativeFrom="paragraph">
                    <wp:posOffset>24130</wp:posOffset>
                  </wp:positionV>
                  <wp:extent cx="2132965" cy="554355"/>
                  <wp:effectExtent l="0" t="0" r="635" b="9525"/>
                  <wp:wrapNone/>
                  <wp:docPr id="17" name="图片_8"/>
                  <wp:cNvGraphicFramePr/>
                  <a:graphic xmlns:a="http://schemas.openxmlformats.org/drawingml/2006/main">
                    <a:graphicData uri="http://schemas.openxmlformats.org/drawingml/2006/picture">
                      <pic:pic xmlns:pic="http://schemas.openxmlformats.org/drawingml/2006/picture">
                        <pic:nvPicPr>
                          <pic:cNvPr id="17" name="图片_8"/>
                          <pic:cNvPicPr/>
                        </pic:nvPicPr>
                        <pic:blipFill>
                          <a:blip r:embed="rId13"/>
                          <a:stretch>
                            <a:fillRect/>
                          </a:stretch>
                        </pic:blipFill>
                        <pic:spPr>
                          <a:xfrm>
                            <a:off x="0" y="0"/>
                            <a:ext cx="2132965" cy="554355"/>
                          </a:xfrm>
                          <a:prstGeom prst="rect">
                            <a:avLst/>
                          </a:prstGeom>
                          <a:noFill/>
                          <a:ln>
                            <a:noFill/>
                          </a:ln>
                        </pic:spPr>
                      </pic:pic>
                    </a:graphicData>
                  </a:graphic>
                </wp:anchor>
              </w:drawing>
            </w:r>
          </w:p>
        </w:tc>
        <w:tc>
          <w:tcPr>
            <w:tcW w:w="948" w:type="dxa"/>
            <w:tcBorders>
              <w:top w:val="single" w:color="000000" w:sz="4" w:space="0"/>
              <w:left w:val="single" w:color="000000" w:sz="4" w:space="0"/>
              <w:bottom w:val="single" w:color="000000" w:sz="4" w:space="0"/>
              <w:right w:val="single" w:color="000000" w:sz="4" w:space="0"/>
            </w:tcBorders>
            <w:noWrap/>
            <w:vAlign w:val="center"/>
          </w:tcPr>
          <w:p w14:paraId="6A1F958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2件</w:t>
            </w:r>
          </w:p>
        </w:tc>
      </w:tr>
      <w:tr w14:paraId="612F6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9A9A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135E1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天干地支木牌</w:t>
            </w:r>
          </w:p>
        </w:tc>
        <w:tc>
          <w:tcPr>
            <w:tcW w:w="115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FC723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M1：49等</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40E95BA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1套23件</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1074FBA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3.0</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624FA22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698E697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3E9F09D4">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iCs w:val="0"/>
                <w:color w:val="auto"/>
                <w:sz w:val="22"/>
                <w:szCs w:val="22"/>
                <w:u w:val="none"/>
                <w:lang w:val="en-US" w:eastAsia="zh-CN"/>
              </w:rPr>
            </w:pPr>
            <w:r>
              <w:rPr>
                <w:rFonts w:hint="eastAsia" w:ascii="宋体" w:hAnsi="宋体" w:cs="宋体"/>
                <w:i w:val="0"/>
                <w:iCs w:val="0"/>
                <w:color w:val="auto"/>
                <w:sz w:val="22"/>
                <w:szCs w:val="22"/>
                <w:u w:val="none"/>
                <w:lang w:val="en-US" w:eastAsia="zh-CN"/>
              </w:rPr>
              <w:t>保护中</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14:paraId="17FB452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正面一个字，背面无字</w:t>
            </w:r>
          </w:p>
        </w:tc>
        <w:tc>
          <w:tcPr>
            <w:tcW w:w="3780" w:type="dxa"/>
            <w:tcBorders>
              <w:top w:val="single" w:color="000000" w:sz="4" w:space="0"/>
              <w:left w:val="single" w:color="000000" w:sz="4" w:space="0"/>
              <w:bottom w:val="single" w:color="000000" w:sz="4" w:space="0"/>
              <w:right w:val="single" w:color="000000" w:sz="4" w:space="0"/>
            </w:tcBorders>
            <w:noWrap/>
            <w:vAlign w:val="center"/>
          </w:tcPr>
          <w:p w14:paraId="58BE26D9">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single" w:color="000000" w:sz="4" w:space="0"/>
                <w:lang w:val="en-US" w:eastAsia="zh-CN" w:bidi="ar"/>
              </w:rPr>
              <w:drawing>
                <wp:anchor distT="0" distB="0" distL="114300" distR="114300" simplePos="0" relativeHeight="251666432" behindDoc="0" locked="0" layoutInCell="1" allowOverlap="1">
                  <wp:simplePos x="0" y="0"/>
                  <wp:positionH relativeFrom="column">
                    <wp:posOffset>167640</wp:posOffset>
                  </wp:positionH>
                  <wp:positionV relativeFrom="paragraph">
                    <wp:posOffset>-43180</wp:posOffset>
                  </wp:positionV>
                  <wp:extent cx="1864360" cy="632460"/>
                  <wp:effectExtent l="0" t="0" r="10160" b="7620"/>
                  <wp:wrapNone/>
                  <wp:docPr id="16" name="图片_1"/>
                  <wp:cNvGraphicFramePr/>
                  <a:graphic xmlns:a="http://schemas.openxmlformats.org/drawingml/2006/main">
                    <a:graphicData uri="http://schemas.openxmlformats.org/drawingml/2006/picture">
                      <pic:pic xmlns:pic="http://schemas.openxmlformats.org/drawingml/2006/picture">
                        <pic:nvPicPr>
                          <pic:cNvPr id="16" name="图片_1"/>
                          <pic:cNvPicPr/>
                        </pic:nvPicPr>
                        <pic:blipFill>
                          <a:blip r:embed="rId14"/>
                          <a:stretch>
                            <a:fillRect/>
                          </a:stretch>
                        </pic:blipFill>
                        <pic:spPr>
                          <a:xfrm>
                            <a:off x="0" y="0"/>
                            <a:ext cx="1864360" cy="632460"/>
                          </a:xfrm>
                          <a:prstGeom prst="rect">
                            <a:avLst/>
                          </a:prstGeom>
                          <a:noFill/>
                          <a:ln>
                            <a:noFill/>
                          </a:ln>
                        </pic:spPr>
                      </pic:pic>
                    </a:graphicData>
                  </a:graphic>
                </wp:anchor>
              </w:drawing>
            </w:r>
          </w:p>
        </w:tc>
        <w:tc>
          <w:tcPr>
            <w:tcW w:w="948" w:type="dxa"/>
            <w:tcBorders>
              <w:top w:val="single" w:color="000000" w:sz="4" w:space="0"/>
              <w:left w:val="single" w:color="000000" w:sz="4" w:space="0"/>
              <w:bottom w:val="single" w:color="000000" w:sz="4" w:space="0"/>
              <w:right w:val="single" w:color="000000" w:sz="4" w:space="0"/>
            </w:tcBorders>
            <w:noWrap/>
            <w:vAlign w:val="center"/>
          </w:tcPr>
          <w:p w14:paraId="3A9CA02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2套</w:t>
            </w:r>
          </w:p>
        </w:tc>
      </w:tr>
      <w:tr w14:paraId="488EC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43" w:type="dxa"/>
            <w:gridSpan w:val="10"/>
            <w:tcBorders>
              <w:top w:val="single" w:color="000000" w:sz="4" w:space="0"/>
              <w:left w:val="single" w:color="000000" w:sz="4" w:space="0"/>
              <w:bottom w:val="single" w:color="000000" w:sz="4" w:space="0"/>
              <w:right w:val="single" w:color="000000" w:sz="4" w:space="0"/>
            </w:tcBorders>
            <w:noWrap/>
            <w:vAlign w:val="center"/>
          </w:tcPr>
          <w:p w14:paraId="007DC6D4">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合计</w:t>
            </w:r>
          </w:p>
        </w:tc>
        <w:tc>
          <w:tcPr>
            <w:tcW w:w="948" w:type="dxa"/>
            <w:tcBorders>
              <w:top w:val="single" w:color="000000" w:sz="4" w:space="0"/>
              <w:left w:val="single" w:color="000000" w:sz="4" w:space="0"/>
              <w:bottom w:val="single" w:color="000000" w:sz="4" w:space="0"/>
              <w:right w:val="single" w:color="000000" w:sz="4" w:space="0"/>
            </w:tcBorders>
            <w:noWrap/>
            <w:vAlign w:val="center"/>
          </w:tcPr>
          <w:p w14:paraId="1C4CE92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14件套</w:t>
            </w:r>
          </w:p>
        </w:tc>
      </w:tr>
    </w:tbl>
    <w:p w14:paraId="366027C4">
      <w:pPr>
        <w:pageBreakBefore w:val="0"/>
        <w:kinsoku/>
        <w:wordWrap/>
        <w:overflowPunct/>
        <w:topLinePunct w:val="0"/>
        <w:bidi w:val="0"/>
        <w:adjustRightInd w:val="0"/>
        <w:snapToGrid w:val="0"/>
        <w:spacing w:beforeAutospacing="0" w:afterAutospacing="0" w:line="288" w:lineRule="auto"/>
        <w:ind w:firstLine="480" w:firstLineChars="200"/>
        <w:textAlignment w:val="auto"/>
        <w:rPr>
          <w:rFonts w:ascii="宋体" w:hAnsi="宋体" w:cs="宋体"/>
          <w:color w:val="auto"/>
          <w:sz w:val="24"/>
          <w:szCs w:val="24"/>
          <w:highlight w:val="none"/>
        </w:rPr>
        <w:sectPr>
          <w:pgSz w:w="16838" w:h="11906" w:orient="landscape"/>
          <w:pgMar w:top="1446" w:right="1984" w:bottom="1446" w:left="1644" w:header="851" w:footer="992" w:gutter="0"/>
          <w:pgNumType w:fmt="decimal" w:start="1"/>
          <w:cols w:space="425" w:num="1"/>
          <w:docGrid w:type="lines" w:linePitch="312" w:charSpace="0"/>
        </w:sectPr>
      </w:pPr>
    </w:p>
    <w:p w14:paraId="013858C0">
      <w:pPr>
        <w:pStyle w:val="3"/>
        <w:pageBreakBefore w:val="0"/>
        <w:kinsoku/>
        <w:wordWrap/>
        <w:overflowPunct/>
        <w:topLinePunct w:val="0"/>
        <w:bidi w:val="0"/>
        <w:adjustRightInd w:val="0"/>
        <w:snapToGrid w:val="0"/>
        <w:spacing w:beforeAutospacing="0" w:afterAutospacing="0" w:line="288" w:lineRule="auto"/>
        <w:ind w:firstLine="482" w:firstLineChars="200"/>
        <w:textAlignment w:val="auto"/>
        <w:rPr>
          <w:rFonts w:hint="eastAsia" w:ascii="宋体" w:hAnsi="宋体" w:eastAsia="宋体" w:cs="宋体"/>
          <w:color w:val="auto"/>
          <w:sz w:val="24"/>
          <w:szCs w:val="24"/>
          <w:highlight w:val="none"/>
        </w:rPr>
      </w:pPr>
      <w:bookmarkStart w:id="0" w:name="_Toc18883"/>
      <w:bookmarkStart w:id="1" w:name="_Toc10403"/>
      <w:bookmarkStart w:id="2" w:name="_Toc25180"/>
      <w:bookmarkStart w:id="3" w:name="_Toc29396"/>
      <w:bookmarkStart w:id="4" w:name="_Toc1282"/>
      <w:bookmarkStart w:id="5" w:name="_Toc26462"/>
      <w:bookmarkStart w:id="6" w:name="_Toc7138"/>
      <w:bookmarkStart w:id="7" w:name="_Toc4385"/>
      <w:bookmarkStart w:id="8" w:name="_Toc12789072"/>
      <w:bookmarkStart w:id="9" w:name="_Toc29974"/>
      <w:bookmarkStart w:id="10" w:name="_Toc9383"/>
      <w:bookmarkStart w:id="11" w:name="_Toc22876"/>
      <w:bookmarkStart w:id="12" w:name="_Toc31704"/>
      <w:bookmarkStart w:id="13" w:name="_Toc22527"/>
      <w:bookmarkStart w:id="14" w:name="_Toc16028"/>
      <w:bookmarkStart w:id="15" w:name="_Toc4905"/>
      <w:bookmarkStart w:id="16" w:name="_Toc22073"/>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十一、</w:t>
      </w:r>
      <w:r>
        <w:rPr>
          <w:rFonts w:hint="eastAsia" w:ascii="宋体" w:hAnsi="宋体" w:eastAsia="宋体" w:cs="宋体"/>
          <w:color w:val="auto"/>
          <w:sz w:val="24"/>
          <w:szCs w:val="24"/>
          <w:highlight w:val="none"/>
        </w:rPr>
        <w:t xml:space="preserve">  响应文件格式要求</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538E422B">
      <w:pPr>
        <w:pageBreakBefore w:val="0"/>
        <w:kinsoku/>
        <w:wordWrap/>
        <w:overflowPunct/>
        <w:topLinePunct w:val="0"/>
        <w:bidi w:val="0"/>
        <w:adjustRightInd w:val="0"/>
        <w:snapToGrid w:val="0"/>
        <w:spacing w:beforeAutospacing="0" w:afterAutospacing="0" w:line="288" w:lineRule="auto"/>
        <w:ind w:firstLine="482" w:firstLineChars="200"/>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一、经济文件</w:t>
      </w:r>
    </w:p>
    <w:p w14:paraId="7E2812CA">
      <w:pPr>
        <w:pageBreakBefore w:val="0"/>
        <w:tabs>
          <w:tab w:val="left" w:pos="6300"/>
        </w:tabs>
        <w:kinsoku/>
        <w:wordWrap/>
        <w:overflowPunct/>
        <w:topLinePunct w:val="0"/>
        <w:bidi w:val="0"/>
        <w:adjustRightInd w:val="0"/>
        <w:snapToGrid w:val="0"/>
        <w:spacing w:beforeAutospacing="0" w:afterAutospacing="0" w:line="288" w:lineRule="auto"/>
        <w:ind w:firstLine="480" w:firstLineChars="200"/>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（一）</w:t>
      </w:r>
      <w:r>
        <w:rPr>
          <w:rFonts w:hint="eastAsia" w:ascii="宋体" w:hAnsi="宋体" w:cs="宋体"/>
          <w:color w:val="auto"/>
          <w:sz w:val="24"/>
          <w:szCs w:val="24"/>
          <w:highlight w:val="none"/>
          <w:lang w:val="en-US" w:eastAsia="zh-CN"/>
        </w:rPr>
        <w:t>报价</w:t>
      </w:r>
      <w:r>
        <w:rPr>
          <w:rFonts w:hint="eastAsia" w:ascii="宋体" w:hAnsi="宋体" w:cs="宋体"/>
          <w:color w:val="auto"/>
          <w:sz w:val="24"/>
          <w:szCs w:val="24"/>
          <w:highlight w:val="none"/>
        </w:rPr>
        <w:t>表（格式）</w:t>
      </w:r>
    </w:p>
    <w:p w14:paraId="305807C3">
      <w:pPr>
        <w:pageBreakBefore w:val="0"/>
        <w:kinsoku/>
        <w:wordWrap/>
        <w:overflowPunct/>
        <w:topLinePunct w:val="0"/>
        <w:bidi w:val="0"/>
        <w:adjustRightInd w:val="0"/>
        <w:snapToGrid w:val="0"/>
        <w:spacing w:beforeAutospacing="0" w:afterAutospacing="0" w:line="288" w:lineRule="auto"/>
        <w:ind w:firstLine="482" w:firstLineChars="200"/>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二、服务文件</w:t>
      </w:r>
    </w:p>
    <w:p w14:paraId="5FB8B09A">
      <w:pPr>
        <w:pageBreakBefore w:val="0"/>
        <w:tabs>
          <w:tab w:val="left" w:pos="6300"/>
        </w:tabs>
        <w:kinsoku/>
        <w:wordWrap/>
        <w:overflowPunct/>
        <w:topLinePunct w:val="0"/>
        <w:bidi w:val="0"/>
        <w:adjustRightInd w:val="0"/>
        <w:snapToGrid w:val="0"/>
        <w:spacing w:beforeAutospacing="0" w:afterAutospacing="0" w:line="288" w:lineRule="auto"/>
        <w:ind w:firstLine="480" w:firstLineChars="200"/>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（一）服务方案</w:t>
      </w:r>
    </w:p>
    <w:p w14:paraId="1D18B5B0">
      <w:pPr>
        <w:pageBreakBefore w:val="0"/>
        <w:kinsoku/>
        <w:wordWrap/>
        <w:overflowPunct/>
        <w:topLinePunct w:val="0"/>
        <w:bidi w:val="0"/>
        <w:adjustRightInd w:val="0"/>
        <w:snapToGrid w:val="0"/>
        <w:spacing w:beforeAutospacing="0" w:afterAutospacing="0" w:line="288" w:lineRule="auto"/>
        <w:ind w:firstLine="482" w:firstLineChars="200"/>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三、商务文件</w:t>
      </w:r>
    </w:p>
    <w:p w14:paraId="4B3EDFF9">
      <w:pPr>
        <w:pageBreakBefore w:val="0"/>
        <w:tabs>
          <w:tab w:val="left" w:pos="6300"/>
        </w:tabs>
        <w:kinsoku/>
        <w:wordWrap/>
        <w:overflowPunct/>
        <w:topLinePunct w:val="0"/>
        <w:bidi w:val="0"/>
        <w:adjustRightInd w:val="0"/>
        <w:snapToGrid w:val="0"/>
        <w:spacing w:beforeAutospacing="0" w:afterAutospacing="0" w:line="288" w:lineRule="auto"/>
        <w:ind w:firstLine="480" w:firstLineChars="200"/>
        <w:jc w:val="left"/>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一</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业绩</w:t>
      </w:r>
    </w:p>
    <w:p w14:paraId="7B5D65B0">
      <w:pPr>
        <w:pageBreakBefore w:val="0"/>
        <w:kinsoku/>
        <w:wordWrap/>
        <w:overflowPunct/>
        <w:topLinePunct w:val="0"/>
        <w:bidi w:val="0"/>
        <w:adjustRightInd w:val="0"/>
        <w:snapToGrid w:val="0"/>
        <w:spacing w:beforeAutospacing="0" w:afterAutospacing="0" w:line="288" w:lineRule="auto"/>
        <w:ind w:firstLine="482" w:firstLineChars="200"/>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lang w:val="en-US" w:eastAsia="zh-CN"/>
        </w:rPr>
        <w:t>四</w:t>
      </w:r>
      <w:r>
        <w:rPr>
          <w:rFonts w:hint="eastAsia" w:ascii="宋体" w:hAnsi="宋体" w:cs="宋体"/>
          <w:b/>
          <w:color w:val="auto"/>
          <w:sz w:val="24"/>
          <w:szCs w:val="24"/>
          <w:highlight w:val="none"/>
        </w:rPr>
        <w:t>、资格文件</w:t>
      </w:r>
    </w:p>
    <w:p w14:paraId="6E39A05F">
      <w:pPr>
        <w:pageBreakBefore w:val="0"/>
        <w:tabs>
          <w:tab w:val="left" w:pos="6300"/>
        </w:tabs>
        <w:kinsoku/>
        <w:wordWrap/>
        <w:overflowPunct/>
        <w:topLinePunct w:val="0"/>
        <w:bidi w:val="0"/>
        <w:adjustRightInd w:val="0"/>
        <w:snapToGrid w:val="0"/>
        <w:spacing w:beforeAutospacing="0" w:afterAutospacing="0" w:line="288" w:lineRule="auto"/>
        <w:ind w:firstLine="480" w:firstLineChars="200"/>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（一）营业执照（副本）或事业单位法人证书（副本）复印件</w:t>
      </w:r>
    </w:p>
    <w:p w14:paraId="6EE643C5">
      <w:pPr>
        <w:pageBreakBefore w:val="0"/>
        <w:tabs>
          <w:tab w:val="left" w:pos="6300"/>
        </w:tabs>
        <w:kinsoku/>
        <w:wordWrap/>
        <w:overflowPunct/>
        <w:topLinePunct w:val="0"/>
        <w:bidi w:val="0"/>
        <w:adjustRightInd w:val="0"/>
        <w:snapToGrid w:val="0"/>
        <w:spacing w:beforeAutospacing="0" w:afterAutospacing="0" w:line="288" w:lineRule="auto"/>
        <w:ind w:firstLine="480" w:firstLineChars="200"/>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（二）法定代表人身份证明书（格式）</w:t>
      </w:r>
    </w:p>
    <w:p w14:paraId="2C0B2CC0">
      <w:pPr>
        <w:pageBreakBefore w:val="0"/>
        <w:tabs>
          <w:tab w:val="left" w:pos="6300"/>
        </w:tabs>
        <w:kinsoku/>
        <w:wordWrap/>
        <w:overflowPunct/>
        <w:topLinePunct w:val="0"/>
        <w:bidi w:val="0"/>
        <w:adjustRightInd w:val="0"/>
        <w:snapToGrid w:val="0"/>
        <w:spacing w:beforeAutospacing="0" w:afterAutospacing="0" w:line="288" w:lineRule="auto"/>
        <w:ind w:firstLine="480" w:firstLineChars="200"/>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（三）法定代表人授权委托书（格式）</w:t>
      </w:r>
    </w:p>
    <w:p w14:paraId="044F25D2">
      <w:pPr>
        <w:pageBreakBefore w:val="0"/>
        <w:tabs>
          <w:tab w:val="left" w:pos="6300"/>
        </w:tabs>
        <w:kinsoku/>
        <w:wordWrap/>
        <w:overflowPunct/>
        <w:topLinePunct w:val="0"/>
        <w:bidi w:val="0"/>
        <w:adjustRightInd w:val="0"/>
        <w:snapToGrid w:val="0"/>
        <w:spacing w:beforeAutospacing="0" w:afterAutospacing="0" w:line="288" w:lineRule="auto"/>
        <w:ind w:firstLine="480" w:firstLineChars="200"/>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（四）基本资格条件承诺函（格式）</w:t>
      </w:r>
    </w:p>
    <w:p w14:paraId="1C8AE312">
      <w:pPr>
        <w:pageBreakBefore w:val="0"/>
        <w:tabs>
          <w:tab w:val="left" w:pos="6300"/>
        </w:tabs>
        <w:kinsoku/>
        <w:wordWrap/>
        <w:overflowPunct/>
        <w:topLinePunct w:val="0"/>
        <w:bidi w:val="0"/>
        <w:adjustRightInd w:val="0"/>
        <w:snapToGrid w:val="0"/>
        <w:spacing w:beforeAutospacing="0" w:afterAutospacing="0" w:line="288" w:lineRule="auto"/>
        <w:ind w:firstLine="480" w:firstLineChars="200"/>
        <w:jc w:val="left"/>
        <w:textAlignment w:val="auto"/>
        <w:rPr>
          <w:rFonts w:hint="eastAsia" w:ascii="宋体" w:hAnsi="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五</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廉政风险防范承诺（格式）</w:t>
      </w:r>
    </w:p>
    <w:p w14:paraId="6AEB3DEC">
      <w:pPr>
        <w:pageBreakBefore w:val="0"/>
        <w:kinsoku/>
        <w:wordWrap/>
        <w:overflowPunct/>
        <w:topLinePunct w:val="0"/>
        <w:bidi w:val="0"/>
        <w:adjustRightInd w:val="0"/>
        <w:snapToGrid w:val="0"/>
        <w:spacing w:beforeAutospacing="0" w:afterAutospacing="0" w:line="288" w:lineRule="auto"/>
        <w:ind w:firstLine="560" w:firstLineChars="200"/>
        <w:textAlignment w:val="auto"/>
        <w:rPr>
          <w:rFonts w:hint="eastAsia"/>
          <w:color w:val="auto"/>
          <w:highlight w:val="none"/>
        </w:rPr>
      </w:pPr>
      <w:r>
        <w:rPr>
          <w:rFonts w:hint="eastAsia"/>
          <w:color w:val="auto"/>
          <w:highlight w:val="none"/>
        </w:rPr>
        <w:br w:type="page"/>
      </w:r>
    </w:p>
    <w:p w14:paraId="239DCDA3">
      <w:pPr>
        <w:pageBreakBefore w:val="0"/>
        <w:kinsoku/>
        <w:wordWrap/>
        <w:overflowPunct/>
        <w:topLinePunct w:val="0"/>
        <w:bidi w:val="0"/>
        <w:adjustRightInd w:val="0"/>
        <w:snapToGrid w:val="0"/>
        <w:spacing w:beforeAutospacing="0" w:afterAutospacing="0" w:line="288" w:lineRule="auto"/>
        <w:ind w:firstLine="560" w:firstLineChars="200"/>
        <w:textAlignment w:val="auto"/>
        <w:rPr>
          <w:color w:val="auto"/>
          <w:highlight w:val="none"/>
        </w:rPr>
      </w:pPr>
      <w:r>
        <w:rPr>
          <w:rFonts w:hint="eastAsia"/>
          <w:color w:val="auto"/>
          <w:highlight w:val="none"/>
          <w:lang w:val="en-US" w:eastAsia="zh-CN"/>
        </w:rPr>
        <w:t>一、经济文件</w:t>
      </w:r>
    </w:p>
    <w:p w14:paraId="69F89B78">
      <w:pPr>
        <w:pageBreakBefore w:val="0"/>
        <w:tabs>
          <w:tab w:val="left" w:pos="6300"/>
        </w:tabs>
        <w:kinsoku/>
        <w:wordWrap/>
        <w:overflowPunct/>
        <w:topLinePunct w:val="0"/>
        <w:bidi w:val="0"/>
        <w:adjustRightInd w:val="0"/>
        <w:snapToGrid w:val="0"/>
        <w:spacing w:beforeAutospacing="0" w:afterAutospacing="0" w:line="288" w:lineRule="auto"/>
        <w:ind w:firstLine="723" w:firstLineChars="200"/>
        <w:jc w:val="center"/>
        <w:textAlignment w:val="auto"/>
        <w:rPr>
          <w:rFonts w:hint="eastAsia" w:ascii="宋体" w:hAnsi="宋体" w:cs="宋体"/>
          <w:b/>
          <w:color w:val="auto"/>
          <w:sz w:val="36"/>
          <w:szCs w:val="36"/>
          <w:highlight w:val="none"/>
          <w:lang w:val="en-US" w:eastAsia="zh-CN"/>
        </w:rPr>
      </w:pPr>
      <w:r>
        <w:rPr>
          <w:rFonts w:hint="eastAsia" w:ascii="宋体" w:hAnsi="宋体" w:cs="宋体"/>
          <w:b/>
          <w:color w:val="auto"/>
          <w:sz w:val="36"/>
          <w:szCs w:val="36"/>
          <w:highlight w:val="none"/>
        </w:rPr>
        <w:t>报价</w:t>
      </w:r>
      <w:r>
        <w:rPr>
          <w:rFonts w:hint="eastAsia" w:ascii="宋体" w:hAnsi="宋体" w:cs="宋体"/>
          <w:b/>
          <w:color w:val="auto"/>
          <w:sz w:val="36"/>
          <w:szCs w:val="36"/>
          <w:highlight w:val="none"/>
          <w:lang w:val="en-US" w:eastAsia="zh-CN"/>
        </w:rPr>
        <w:t>表</w:t>
      </w:r>
    </w:p>
    <w:p w14:paraId="5AF1BDEC">
      <w:pPr>
        <w:pageBreakBefore w:val="0"/>
        <w:tabs>
          <w:tab w:val="left" w:pos="6300"/>
        </w:tabs>
        <w:kinsoku/>
        <w:wordWrap/>
        <w:overflowPunct/>
        <w:topLinePunct w:val="0"/>
        <w:bidi w:val="0"/>
        <w:adjustRightInd w:val="0"/>
        <w:snapToGrid w:val="0"/>
        <w:spacing w:beforeAutospacing="0" w:afterAutospacing="0" w:line="288" w:lineRule="auto"/>
        <w:ind w:firstLine="723" w:firstLineChars="200"/>
        <w:jc w:val="center"/>
        <w:textAlignment w:val="auto"/>
        <w:rPr>
          <w:rFonts w:hint="eastAsia" w:ascii="宋体" w:hAnsi="宋体" w:cs="宋体"/>
          <w:b/>
          <w:color w:val="auto"/>
          <w:sz w:val="36"/>
          <w:szCs w:val="36"/>
          <w:highlight w:val="none"/>
          <w:lang w:val="en-US" w:eastAsia="zh-CN"/>
        </w:rPr>
      </w:pPr>
    </w:p>
    <w:p w14:paraId="67E625DC">
      <w:pPr>
        <w:pageBreakBefore w:val="0"/>
        <w:tabs>
          <w:tab w:val="left" w:pos="6300"/>
        </w:tabs>
        <w:kinsoku/>
        <w:wordWrap/>
        <w:overflowPunct/>
        <w:topLinePunct w:val="0"/>
        <w:bidi w:val="0"/>
        <w:adjustRightInd w:val="0"/>
        <w:snapToGrid w:val="0"/>
        <w:spacing w:beforeAutospacing="0" w:afterAutospacing="0" w:line="288"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highlight w:val="none"/>
          <w:u w:val="single"/>
          <w:lang w:val="en-US" w:eastAsia="zh-CN"/>
        </w:rPr>
        <w:t>重庆市文物考古研究院（重庆文化遗产保护中心）</w:t>
      </w:r>
      <w:r>
        <w:rPr>
          <w:rFonts w:hint="eastAsia" w:ascii="宋体" w:hAnsi="宋体" w:cs="宋体"/>
          <w:color w:val="auto"/>
          <w:sz w:val="24"/>
          <w:szCs w:val="24"/>
          <w:highlight w:val="none"/>
        </w:rPr>
        <w:t>：</w:t>
      </w:r>
    </w:p>
    <w:p w14:paraId="210D2256">
      <w:pPr>
        <w:pageBreakBefore w:val="0"/>
        <w:tabs>
          <w:tab w:val="left" w:pos="6300"/>
        </w:tabs>
        <w:kinsoku/>
        <w:wordWrap/>
        <w:overflowPunct/>
        <w:topLinePunct w:val="0"/>
        <w:bidi w:val="0"/>
        <w:adjustRightInd w:val="0"/>
        <w:snapToGrid w:val="0"/>
        <w:spacing w:beforeAutospacing="0" w:afterAutospacing="0" w:line="288" w:lineRule="auto"/>
        <w:ind w:left="0" w:leftChars="0"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我方收到（</w:t>
      </w:r>
      <w:r>
        <w:rPr>
          <w:rFonts w:hint="eastAsia" w:ascii="宋体" w:hAnsi="宋体" w:cs="宋体"/>
          <w:color w:val="auto"/>
          <w:sz w:val="24"/>
          <w:szCs w:val="24"/>
          <w:highlight w:val="none"/>
          <w:lang w:eastAsia="zh-CN"/>
        </w:rPr>
        <w:t>询比</w:t>
      </w:r>
      <w:r>
        <w:rPr>
          <w:rFonts w:hint="eastAsia" w:ascii="宋体" w:hAnsi="宋体" w:cs="宋体"/>
          <w:color w:val="auto"/>
          <w:sz w:val="24"/>
          <w:szCs w:val="24"/>
          <w:highlight w:val="none"/>
        </w:rPr>
        <w:t>项目名称）的</w:t>
      </w:r>
      <w:r>
        <w:rPr>
          <w:rFonts w:hint="eastAsia" w:ascii="宋体" w:hAnsi="宋体" w:cs="宋体"/>
          <w:color w:val="auto"/>
          <w:sz w:val="24"/>
          <w:szCs w:val="24"/>
          <w:highlight w:val="none"/>
          <w:lang w:eastAsia="zh-CN"/>
        </w:rPr>
        <w:t>询比</w:t>
      </w:r>
      <w:r>
        <w:rPr>
          <w:rFonts w:hint="eastAsia" w:ascii="宋体" w:hAnsi="宋体" w:cs="宋体"/>
          <w:color w:val="auto"/>
          <w:sz w:val="24"/>
          <w:szCs w:val="24"/>
          <w:highlight w:val="none"/>
        </w:rPr>
        <w:t>文件，经详细研究，决定参加该</w:t>
      </w:r>
      <w:r>
        <w:rPr>
          <w:rFonts w:hint="eastAsia" w:ascii="宋体" w:hAnsi="宋体" w:cs="宋体"/>
          <w:color w:val="auto"/>
          <w:sz w:val="24"/>
          <w:szCs w:val="24"/>
          <w:highlight w:val="none"/>
          <w:lang w:eastAsia="zh-CN"/>
        </w:rPr>
        <w:t>询比</w:t>
      </w:r>
      <w:r>
        <w:rPr>
          <w:rFonts w:hint="eastAsia" w:ascii="宋体" w:hAnsi="宋体" w:cs="宋体"/>
          <w:color w:val="auto"/>
          <w:sz w:val="24"/>
          <w:szCs w:val="24"/>
          <w:highlight w:val="none"/>
        </w:rPr>
        <w:t>项目的报价。</w:t>
      </w:r>
    </w:p>
    <w:p w14:paraId="3BB623FF">
      <w:pPr>
        <w:pageBreakBefore w:val="0"/>
        <w:tabs>
          <w:tab w:val="left" w:pos="6300"/>
        </w:tabs>
        <w:kinsoku/>
        <w:wordWrap/>
        <w:overflowPunct/>
        <w:topLinePunct w:val="0"/>
        <w:bidi w:val="0"/>
        <w:adjustRightInd w:val="0"/>
        <w:snapToGrid w:val="0"/>
        <w:spacing w:beforeAutospacing="0" w:afterAutospacing="0" w:line="288" w:lineRule="auto"/>
        <w:ind w:left="278" w:leftChars="0"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我方</w:t>
      </w:r>
      <w:r>
        <w:rPr>
          <w:rFonts w:hint="eastAsia" w:ascii="宋体" w:hAnsi="宋体" w:cs="宋体"/>
          <w:color w:val="auto"/>
          <w:sz w:val="24"/>
          <w:szCs w:val="24"/>
          <w:highlight w:val="none"/>
        </w:rPr>
        <w:t>愿意按照</w:t>
      </w:r>
      <w:r>
        <w:rPr>
          <w:rFonts w:hint="eastAsia" w:ascii="宋体" w:hAnsi="宋体" w:cs="宋体"/>
          <w:color w:val="auto"/>
          <w:sz w:val="24"/>
          <w:szCs w:val="24"/>
          <w:highlight w:val="none"/>
          <w:lang w:val="en-US" w:eastAsia="zh-CN"/>
        </w:rPr>
        <w:t>询比</w:t>
      </w:r>
      <w:r>
        <w:rPr>
          <w:rFonts w:hint="eastAsia" w:ascii="宋体" w:hAnsi="宋体" w:cs="宋体"/>
          <w:color w:val="auto"/>
          <w:sz w:val="24"/>
          <w:szCs w:val="24"/>
          <w:highlight w:val="none"/>
        </w:rPr>
        <w:t>文件中的一切要求，提供本项目的服务，最终报价为人民币</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rPr>
        <w:t xml:space="preserve">元，大写：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rPr>
        <w:t xml:space="preserve"> 整</w:t>
      </w:r>
      <w:r>
        <w:rPr>
          <w:rFonts w:hint="eastAsia" w:ascii="宋体" w:hAnsi="宋体" w:cs="宋体"/>
          <w:color w:val="auto"/>
          <w:sz w:val="24"/>
          <w:szCs w:val="24"/>
          <w:highlight w:val="none"/>
        </w:rPr>
        <w:t>。</w:t>
      </w:r>
    </w:p>
    <w:p w14:paraId="10ECB902">
      <w:pPr>
        <w:pageBreakBefore w:val="0"/>
        <w:tabs>
          <w:tab w:val="left" w:pos="6300"/>
        </w:tabs>
        <w:kinsoku/>
        <w:wordWrap/>
        <w:overflowPunct/>
        <w:topLinePunct w:val="0"/>
        <w:bidi w:val="0"/>
        <w:adjustRightInd w:val="0"/>
        <w:snapToGrid w:val="0"/>
        <w:spacing w:beforeAutospacing="0" w:afterAutospacing="0" w:line="288" w:lineRule="auto"/>
        <w:ind w:left="278"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我方完全理解并接受该项目</w:t>
      </w:r>
      <w:r>
        <w:rPr>
          <w:rFonts w:hint="eastAsia" w:ascii="宋体" w:hAnsi="宋体" w:eastAsia="宋体" w:cs="宋体"/>
          <w:color w:val="auto"/>
          <w:sz w:val="24"/>
          <w:szCs w:val="24"/>
          <w:highlight w:val="none"/>
          <w:lang w:eastAsia="zh-CN"/>
        </w:rPr>
        <w:t>询比</w:t>
      </w:r>
      <w:r>
        <w:rPr>
          <w:rFonts w:hint="eastAsia" w:ascii="宋体" w:hAnsi="宋体" w:eastAsia="宋体" w:cs="宋体"/>
          <w:color w:val="auto"/>
          <w:sz w:val="24"/>
          <w:szCs w:val="24"/>
          <w:highlight w:val="none"/>
        </w:rPr>
        <w:t>文件所有要求。</w:t>
      </w:r>
    </w:p>
    <w:p w14:paraId="5860BD08">
      <w:pPr>
        <w:pageBreakBefore w:val="0"/>
        <w:tabs>
          <w:tab w:val="left" w:pos="6300"/>
        </w:tabs>
        <w:kinsoku/>
        <w:wordWrap/>
        <w:overflowPunct/>
        <w:topLinePunct w:val="0"/>
        <w:bidi w:val="0"/>
        <w:adjustRightInd w:val="0"/>
        <w:snapToGrid w:val="0"/>
        <w:spacing w:beforeAutospacing="0" w:afterAutospacing="0" w:line="288" w:lineRule="auto"/>
        <w:ind w:left="278"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我方提交的所有文件、资料都是准确和真实的，如有虚假或隐瞒，我方愿意承担一切法律责任。</w:t>
      </w:r>
    </w:p>
    <w:p w14:paraId="1BE6B98B">
      <w:pPr>
        <w:pageBreakBefore w:val="0"/>
        <w:tabs>
          <w:tab w:val="left" w:pos="6300"/>
        </w:tabs>
        <w:kinsoku/>
        <w:wordWrap/>
        <w:overflowPunct/>
        <w:topLinePunct w:val="0"/>
        <w:bidi w:val="0"/>
        <w:adjustRightInd w:val="0"/>
        <w:snapToGrid w:val="0"/>
        <w:spacing w:beforeAutospacing="0" w:afterAutospacing="0" w:line="288" w:lineRule="auto"/>
        <w:ind w:left="278"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我方承诺按照</w:t>
      </w:r>
      <w:r>
        <w:rPr>
          <w:rFonts w:hint="eastAsia" w:ascii="宋体" w:hAnsi="宋体" w:eastAsia="宋体" w:cs="宋体"/>
          <w:color w:val="auto"/>
          <w:sz w:val="24"/>
          <w:szCs w:val="24"/>
          <w:highlight w:val="none"/>
          <w:lang w:eastAsia="zh-CN"/>
        </w:rPr>
        <w:t>询比</w:t>
      </w:r>
      <w:r>
        <w:rPr>
          <w:rFonts w:hint="eastAsia" w:ascii="宋体" w:hAnsi="宋体" w:eastAsia="宋体" w:cs="宋体"/>
          <w:color w:val="auto"/>
          <w:sz w:val="24"/>
          <w:szCs w:val="24"/>
          <w:highlight w:val="none"/>
        </w:rPr>
        <w:t>文件要求，提供招标项目的服务。</w:t>
      </w:r>
    </w:p>
    <w:p w14:paraId="69663241">
      <w:pPr>
        <w:pageBreakBefore w:val="0"/>
        <w:tabs>
          <w:tab w:val="left" w:pos="6300"/>
        </w:tabs>
        <w:kinsoku/>
        <w:wordWrap/>
        <w:overflowPunct/>
        <w:topLinePunct w:val="0"/>
        <w:bidi w:val="0"/>
        <w:adjustRightInd w:val="0"/>
        <w:snapToGrid w:val="0"/>
        <w:spacing w:beforeAutospacing="0" w:afterAutospacing="0" w:line="288" w:lineRule="auto"/>
        <w:ind w:left="278"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我方按</w:t>
      </w:r>
      <w:r>
        <w:rPr>
          <w:rFonts w:hint="eastAsia" w:ascii="宋体" w:hAnsi="宋体" w:eastAsia="宋体" w:cs="宋体"/>
          <w:color w:val="auto"/>
          <w:sz w:val="24"/>
          <w:szCs w:val="24"/>
          <w:highlight w:val="none"/>
          <w:lang w:eastAsia="zh-CN"/>
        </w:rPr>
        <w:t>询比</w:t>
      </w:r>
      <w:r>
        <w:rPr>
          <w:rFonts w:hint="eastAsia" w:ascii="宋体" w:hAnsi="宋体" w:eastAsia="宋体" w:cs="宋体"/>
          <w:color w:val="auto"/>
          <w:sz w:val="24"/>
          <w:szCs w:val="24"/>
          <w:highlight w:val="none"/>
        </w:rPr>
        <w:t>文件要求提交的</w:t>
      </w:r>
      <w:r>
        <w:rPr>
          <w:rFonts w:hint="eastAsia" w:ascii="宋体" w:hAnsi="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文件为：正本1份，副本1份。</w:t>
      </w:r>
    </w:p>
    <w:p w14:paraId="6A0951D2">
      <w:pPr>
        <w:pageBreakBefore w:val="0"/>
        <w:tabs>
          <w:tab w:val="left" w:pos="6300"/>
        </w:tabs>
        <w:kinsoku/>
        <w:wordWrap/>
        <w:overflowPunct/>
        <w:topLinePunct w:val="0"/>
        <w:bidi w:val="0"/>
        <w:adjustRightInd w:val="0"/>
        <w:snapToGrid w:val="0"/>
        <w:spacing w:beforeAutospacing="0" w:afterAutospacing="0" w:line="288" w:lineRule="auto"/>
        <w:ind w:left="278"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我方报价为闭口价。即在有效期和合同有效期内，该报价固定不变。</w:t>
      </w:r>
    </w:p>
    <w:p w14:paraId="6278DA95">
      <w:pPr>
        <w:pageBreakBefore w:val="0"/>
        <w:tabs>
          <w:tab w:val="left" w:pos="6300"/>
        </w:tabs>
        <w:kinsoku/>
        <w:wordWrap/>
        <w:overflowPunct/>
        <w:topLinePunct w:val="0"/>
        <w:bidi w:val="0"/>
        <w:adjustRightInd w:val="0"/>
        <w:snapToGrid w:val="0"/>
        <w:spacing w:beforeAutospacing="0" w:afterAutospacing="0" w:line="288" w:lineRule="auto"/>
        <w:ind w:left="278"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如果我方成交，我方将履行</w:t>
      </w:r>
      <w:r>
        <w:rPr>
          <w:rFonts w:hint="eastAsia" w:ascii="宋体" w:hAnsi="宋体" w:eastAsia="宋体" w:cs="宋体"/>
          <w:color w:val="auto"/>
          <w:sz w:val="24"/>
          <w:szCs w:val="24"/>
          <w:highlight w:val="none"/>
          <w:lang w:eastAsia="zh-CN"/>
        </w:rPr>
        <w:t>询比</w:t>
      </w:r>
      <w:r>
        <w:rPr>
          <w:rFonts w:hint="eastAsia" w:ascii="宋体" w:hAnsi="宋体" w:eastAsia="宋体" w:cs="宋体"/>
          <w:color w:val="auto"/>
          <w:sz w:val="24"/>
          <w:szCs w:val="24"/>
          <w:highlight w:val="none"/>
        </w:rPr>
        <w:t>文件中规定的各项要求以及我方文件的各项承诺，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中华人民共和国政府采购法》、《中华人民共和国民法典》及合同约定条款承担我方责任。</w:t>
      </w:r>
    </w:p>
    <w:p w14:paraId="22B3E49C">
      <w:pPr>
        <w:pageBreakBefore w:val="0"/>
        <w:tabs>
          <w:tab w:val="left" w:pos="6300"/>
        </w:tabs>
        <w:kinsoku/>
        <w:wordWrap/>
        <w:overflowPunct/>
        <w:topLinePunct w:val="0"/>
        <w:bidi w:val="0"/>
        <w:adjustRightInd w:val="0"/>
        <w:snapToGrid w:val="0"/>
        <w:spacing w:beforeAutospacing="0" w:afterAutospacing="0" w:line="288" w:lineRule="auto"/>
        <w:ind w:left="278"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我方理解，最低报价不是成交的唯一条件。</w:t>
      </w:r>
    </w:p>
    <w:p w14:paraId="4A0E94ED">
      <w:pPr>
        <w:pageBreakBefore w:val="0"/>
        <w:tabs>
          <w:tab w:val="left" w:pos="6300"/>
        </w:tabs>
        <w:kinsoku/>
        <w:wordWrap/>
        <w:overflowPunct/>
        <w:topLinePunct w:val="0"/>
        <w:bidi w:val="0"/>
        <w:adjustRightInd w:val="0"/>
        <w:snapToGrid w:val="0"/>
        <w:spacing w:beforeAutospacing="0" w:afterAutospacing="0" w:line="288" w:lineRule="auto"/>
        <w:ind w:left="278"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我方同意按有关规定及</w:t>
      </w:r>
      <w:r>
        <w:rPr>
          <w:rFonts w:hint="eastAsia" w:ascii="宋体" w:hAnsi="宋体" w:eastAsia="宋体" w:cs="宋体"/>
          <w:color w:val="auto"/>
          <w:sz w:val="24"/>
          <w:szCs w:val="24"/>
          <w:highlight w:val="none"/>
          <w:lang w:eastAsia="zh-CN"/>
        </w:rPr>
        <w:t>询比</w:t>
      </w:r>
      <w:r>
        <w:rPr>
          <w:rFonts w:hint="eastAsia" w:ascii="宋体" w:hAnsi="宋体" w:eastAsia="宋体" w:cs="宋体"/>
          <w:color w:val="auto"/>
          <w:sz w:val="24"/>
          <w:szCs w:val="24"/>
          <w:highlight w:val="none"/>
        </w:rPr>
        <w:t>文件要求。</w:t>
      </w:r>
    </w:p>
    <w:p w14:paraId="65E6781E">
      <w:pPr>
        <w:pageBreakBefore w:val="0"/>
        <w:tabs>
          <w:tab w:val="left" w:pos="6300"/>
        </w:tabs>
        <w:kinsoku/>
        <w:wordWrap/>
        <w:overflowPunct/>
        <w:topLinePunct w:val="0"/>
        <w:bidi w:val="0"/>
        <w:adjustRightInd w:val="0"/>
        <w:snapToGrid w:val="0"/>
        <w:spacing w:beforeAutospacing="0" w:afterAutospacing="0" w:line="288" w:lineRule="auto"/>
        <w:ind w:left="478" w:leftChars="85" w:hanging="240" w:hangingChars="100"/>
        <w:textAlignment w:val="auto"/>
        <w:rPr>
          <w:rFonts w:hint="eastAsia" w:ascii="宋体" w:hAnsi="宋体" w:eastAsia="宋体" w:cs="宋体"/>
          <w:color w:val="auto"/>
          <w:sz w:val="24"/>
          <w:szCs w:val="24"/>
          <w:highlight w:val="none"/>
        </w:rPr>
      </w:pPr>
    </w:p>
    <w:p w14:paraId="0B65703E">
      <w:pPr>
        <w:pageBreakBefore w:val="0"/>
        <w:tabs>
          <w:tab w:val="left" w:pos="6300"/>
        </w:tabs>
        <w:kinsoku/>
        <w:wordWrap/>
        <w:overflowPunct/>
        <w:topLinePunct w:val="0"/>
        <w:bidi w:val="0"/>
        <w:adjustRightInd w:val="0"/>
        <w:snapToGrid w:val="0"/>
        <w:spacing w:beforeAutospacing="0" w:afterAutospacing="0" w:line="288" w:lineRule="auto"/>
        <w:ind w:firstLine="570"/>
        <w:textAlignment w:val="auto"/>
        <w:rPr>
          <w:rFonts w:ascii="宋体" w:hAnsi="宋体" w:cs="宋体"/>
          <w:color w:val="auto"/>
          <w:sz w:val="24"/>
          <w:szCs w:val="24"/>
          <w:highlight w:val="none"/>
        </w:rPr>
      </w:pPr>
    </w:p>
    <w:p w14:paraId="646D8794">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left="0" w:leftChars="0"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供应商（公章）签署：</w:t>
      </w:r>
    </w:p>
    <w:p w14:paraId="09D822FB">
      <w:pPr>
        <w:pStyle w:val="12"/>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left="0" w:leftChars="0" w:firstLine="480" w:firstLineChars="200"/>
        <w:textAlignment w:val="auto"/>
        <w:rPr>
          <w:rFonts w:eastAsia="宋体"/>
          <w:color w:val="auto"/>
          <w:highlight w:val="none"/>
        </w:rPr>
      </w:pPr>
      <w:r>
        <w:rPr>
          <w:rFonts w:hint="eastAsia" w:eastAsia="宋体" w:cs="宋体"/>
          <w:color w:val="auto"/>
          <w:szCs w:val="24"/>
          <w:highlight w:val="none"/>
        </w:rPr>
        <w:t>法定代表人（签字）：</w:t>
      </w:r>
    </w:p>
    <w:p w14:paraId="5E628451">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 xml:space="preserve">地址：  </w:t>
      </w:r>
      <w:r>
        <w:rPr>
          <w:rFonts w:hint="eastAsia" w:ascii="宋体" w:hAnsi="宋体" w:cs="宋体"/>
          <w:color w:val="auto"/>
          <w:sz w:val="24"/>
          <w:szCs w:val="24"/>
          <w:highlight w:val="none"/>
          <w:lang w:val="en-US" w:eastAsia="zh-CN"/>
        </w:rPr>
        <w:t xml:space="preserve"> </w:t>
      </w:r>
    </w:p>
    <w:p w14:paraId="727736D5">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电话：                           传真：</w:t>
      </w:r>
    </w:p>
    <w:p w14:paraId="61537651">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网址：                           邮编：</w:t>
      </w:r>
    </w:p>
    <w:p w14:paraId="3815810B">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联系人：</w:t>
      </w:r>
    </w:p>
    <w:p w14:paraId="1B3E39A5">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年   月   日</w:t>
      </w:r>
    </w:p>
    <w:p w14:paraId="7DEA6841">
      <w:pPr>
        <w:pageBreakBefore w:val="0"/>
        <w:kinsoku/>
        <w:wordWrap/>
        <w:overflowPunct/>
        <w:topLinePunct w:val="0"/>
        <w:bidi w:val="0"/>
        <w:adjustRightInd w:val="0"/>
        <w:snapToGrid w:val="0"/>
        <w:spacing w:beforeAutospacing="0" w:afterAutospacing="0" w:line="288"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br w:type="page"/>
      </w:r>
    </w:p>
    <w:p w14:paraId="34138520">
      <w:pPr>
        <w:keepNext w:val="0"/>
        <w:keepLines w:val="0"/>
        <w:pageBreakBefore w:val="0"/>
        <w:widowControl w:val="0"/>
        <w:numPr>
          <w:ilvl w:val="0"/>
          <w:numId w:val="1"/>
        </w:numPr>
        <w:kinsoku/>
        <w:wordWrap/>
        <w:overflowPunct/>
        <w:topLinePunct w:val="0"/>
        <w:autoSpaceDE/>
        <w:autoSpaceDN/>
        <w:bidi w:val="0"/>
        <w:adjustRightInd w:val="0"/>
        <w:snapToGrid w:val="0"/>
        <w:spacing w:beforeAutospacing="0" w:afterAutospacing="0" w:line="288" w:lineRule="auto"/>
        <w:ind w:firstLine="56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服务文件</w:t>
      </w:r>
    </w:p>
    <w:p w14:paraId="40A0C492">
      <w:pPr>
        <w:pageBreakBefore w:val="0"/>
        <w:tabs>
          <w:tab w:val="left" w:pos="6300"/>
        </w:tabs>
        <w:kinsoku/>
        <w:wordWrap/>
        <w:overflowPunct/>
        <w:topLinePunct w:val="0"/>
        <w:bidi w:val="0"/>
        <w:adjustRightInd w:val="0"/>
        <w:snapToGrid w:val="0"/>
        <w:spacing w:beforeAutospacing="0" w:afterAutospacing="0" w:line="288" w:lineRule="auto"/>
        <w:ind w:firstLine="480" w:firstLineChars="200"/>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（一）服务方案</w:t>
      </w:r>
    </w:p>
    <w:p w14:paraId="7D50F20A">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56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br w:type="page"/>
      </w:r>
    </w:p>
    <w:p w14:paraId="2032646A">
      <w:pPr>
        <w:keepNext w:val="0"/>
        <w:keepLines w:val="0"/>
        <w:pageBreakBefore w:val="0"/>
        <w:widowControl w:val="0"/>
        <w:numPr>
          <w:ilvl w:val="0"/>
          <w:numId w:val="1"/>
        </w:numPr>
        <w:kinsoku/>
        <w:wordWrap/>
        <w:overflowPunct/>
        <w:topLinePunct w:val="0"/>
        <w:autoSpaceDE/>
        <w:autoSpaceDN/>
        <w:bidi w:val="0"/>
        <w:adjustRightInd w:val="0"/>
        <w:snapToGrid w:val="0"/>
        <w:spacing w:beforeAutospacing="0" w:afterAutospacing="0" w:line="288" w:lineRule="auto"/>
        <w:ind w:left="0" w:leftChars="0" w:firstLine="56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商务文件</w:t>
      </w:r>
    </w:p>
    <w:p w14:paraId="72E5D9BF">
      <w:pPr>
        <w:pageBreakBefore w:val="0"/>
        <w:tabs>
          <w:tab w:val="left" w:pos="6300"/>
        </w:tabs>
        <w:kinsoku/>
        <w:wordWrap/>
        <w:overflowPunct/>
        <w:topLinePunct w:val="0"/>
        <w:bidi w:val="0"/>
        <w:adjustRightInd w:val="0"/>
        <w:snapToGrid w:val="0"/>
        <w:spacing w:beforeAutospacing="0" w:afterAutospacing="0" w:line="288" w:lineRule="auto"/>
        <w:ind w:firstLine="480" w:firstLineChars="200"/>
        <w:jc w:val="left"/>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一</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业绩</w:t>
      </w:r>
    </w:p>
    <w:p w14:paraId="7680F392">
      <w:pPr>
        <w:keepNext w:val="0"/>
        <w:keepLines w:val="0"/>
        <w:pageBreakBefore w:val="0"/>
        <w:widowControl w:val="0"/>
        <w:numPr>
          <w:ilvl w:val="0"/>
          <w:numId w:val="0"/>
        </w:numPr>
        <w:tabs>
          <w:tab w:val="left" w:pos="6300"/>
        </w:tabs>
        <w:kinsoku/>
        <w:wordWrap/>
        <w:overflowPunct/>
        <w:topLinePunct w:val="0"/>
        <w:autoSpaceDE/>
        <w:autoSpaceDN/>
        <w:bidi w:val="0"/>
        <w:adjustRightInd w:val="0"/>
        <w:snapToGrid w:val="0"/>
        <w:spacing w:beforeAutospacing="0" w:afterAutospacing="0" w:line="288"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br w:type="page"/>
      </w:r>
    </w:p>
    <w:p w14:paraId="70241906">
      <w:pPr>
        <w:keepNext w:val="0"/>
        <w:keepLines w:val="0"/>
        <w:pageBreakBefore w:val="0"/>
        <w:widowControl w:val="0"/>
        <w:numPr>
          <w:ilvl w:val="0"/>
          <w:numId w:val="1"/>
        </w:numPr>
        <w:kinsoku/>
        <w:wordWrap/>
        <w:overflowPunct/>
        <w:topLinePunct w:val="0"/>
        <w:autoSpaceDE/>
        <w:autoSpaceDN/>
        <w:bidi w:val="0"/>
        <w:adjustRightInd w:val="0"/>
        <w:snapToGrid w:val="0"/>
        <w:spacing w:beforeAutospacing="0" w:afterAutospacing="0" w:line="288" w:lineRule="auto"/>
        <w:ind w:left="0" w:leftChars="0" w:firstLine="56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资格文件</w:t>
      </w:r>
    </w:p>
    <w:p w14:paraId="52EE4AFA">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（一）营业执照（副本）或事业单位法人证书（副本）复印件</w:t>
      </w:r>
    </w:p>
    <w:p w14:paraId="5A4F3883">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49F49167">
      <w:pPr>
        <w:keepNext w:val="0"/>
        <w:keepLines w:val="0"/>
        <w:pageBreakBefore w:val="0"/>
        <w:widowControl w:val="0"/>
        <w:numPr>
          <w:ilvl w:val="0"/>
          <w:numId w:val="2"/>
        </w:numPr>
        <w:tabs>
          <w:tab w:val="left" w:pos="6300"/>
        </w:tabs>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法定代表人身份证明书（格式）</w:t>
      </w:r>
    </w:p>
    <w:p w14:paraId="3E51222E">
      <w:pPr>
        <w:keepNext w:val="0"/>
        <w:keepLines w:val="0"/>
        <w:pageBreakBefore w:val="0"/>
        <w:widowControl w:val="0"/>
        <w:numPr>
          <w:ilvl w:val="0"/>
          <w:numId w:val="0"/>
        </w:numPr>
        <w:tabs>
          <w:tab w:val="left" w:pos="6300"/>
        </w:tabs>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u w:val="single"/>
        </w:rPr>
        <w:t xml:space="preserve">                                                </w:t>
      </w:r>
    </w:p>
    <w:p w14:paraId="710FB18E">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0" w:firstLineChars="0"/>
        <w:textAlignment w:val="auto"/>
        <w:rPr>
          <w:rFonts w:hint="eastAsia" w:ascii="宋体" w:hAnsi="宋体" w:eastAsia="宋体" w:cs="宋体"/>
          <w:color w:val="auto"/>
          <w:sz w:val="24"/>
          <w:highlight w:val="none"/>
        </w:rPr>
      </w:pPr>
    </w:p>
    <w:p w14:paraId="7B1EB766">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 xml:space="preserve"> </w:t>
      </w:r>
      <w:r>
        <w:rPr>
          <w:rFonts w:hint="eastAsia" w:ascii="宋体" w:hAnsi="宋体" w:cs="宋体"/>
          <w:color w:val="auto"/>
          <w:sz w:val="24"/>
          <w:highlight w:val="none"/>
          <w:u w:val="single"/>
          <w:lang w:val="en-US" w:eastAsia="zh-CN"/>
        </w:rPr>
        <w:t>重庆市文物考古研究院（重庆文化遗产保护中心）</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1DB01E71">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（法定代表人姓名）在</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（供应商名称）任</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（职务名称）职务，是（供应商名称）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的法定代表人。</w:t>
      </w:r>
    </w:p>
    <w:p w14:paraId="02047E2D">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0" w:firstLineChars="0"/>
        <w:textAlignment w:val="auto"/>
        <w:rPr>
          <w:rFonts w:hint="eastAsia" w:ascii="宋体" w:hAnsi="宋体" w:eastAsia="宋体" w:cs="宋体"/>
          <w:color w:val="auto"/>
          <w:sz w:val="24"/>
          <w:highlight w:val="none"/>
        </w:rPr>
      </w:pPr>
    </w:p>
    <w:p w14:paraId="2134C1E5">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特此证明。</w:t>
      </w:r>
    </w:p>
    <w:p w14:paraId="620F9C9F">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0" w:firstLineChars="0"/>
        <w:textAlignment w:val="auto"/>
        <w:rPr>
          <w:rFonts w:hint="eastAsia" w:ascii="宋体" w:hAnsi="宋体" w:eastAsia="宋体" w:cs="宋体"/>
          <w:color w:val="auto"/>
          <w:sz w:val="24"/>
          <w:highlight w:val="none"/>
        </w:rPr>
      </w:pPr>
    </w:p>
    <w:p w14:paraId="0D3BECEA">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0" w:firstLineChars="0"/>
        <w:textAlignment w:val="auto"/>
        <w:rPr>
          <w:rFonts w:hint="eastAsia" w:ascii="宋体" w:hAnsi="宋体" w:eastAsia="宋体" w:cs="宋体"/>
          <w:color w:val="auto"/>
          <w:sz w:val="24"/>
          <w:highlight w:val="none"/>
        </w:rPr>
      </w:pPr>
    </w:p>
    <w:p w14:paraId="30903B1B">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0" w:firstLineChars="0"/>
        <w:textAlignment w:val="auto"/>
        <w:rPr>
          <w:rFonts w:hint="eastAsia" w:ascii="宋体" w:hAnsi="宋体" w:eastAsia="宋体" w:cs="宋体"/>
          <w:color w:val="auto"/>
          <w:sz w:val="24"/>
          <w:highlight w:val="none"/>
        </w:rPr>
      </w:pPr>
    </w:p>
    <w:p w14:paraId="7DB2F2EB">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（供应商公章）</w:t>
      </w:r>
    </w:p>
    <w:p w14:paraId="71CA5906">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0" w:firstLineChars="0"/>
        <w:textAlignment w:val="auto"/>
        <w:rPr>
          <w:rFonts w:hint="eastAsia" w:ascii="宋体" w:hAnsi="宋体" w:eastAsia="宋体" w:cs="宋体"/>
          <w:color w:val="auto"/>
          <w:sz w:val="24"/>
          <w:highlight w:val="none"/>
        </w:rPr>
      </w:pPr>
    </w:p>
    <w:p w14:paraId="42E9DC2E">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年   月   日</w:t>
      </w:r>
    </w:p>
    <w:p w14:paraId="34A9BA8E">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0" w:firstLineChars="0"/>
        <w:textAlignment w:val="auto"/>
        <w:rPr>
          <w:rFonts w:hint="eastAsia" w:ascii="宋体" w:hAnsi="宋体" w:eastAsia="宋体" w:cs="宋体"/>
          <w:color w:val="auto"/>
          <w:sz w:val="24"/>
          <w:highlight w:val="none"/>
        </w:rPr>
      </w:pPr>
    </w:p>
    <w:p w14:paraId="6A29F69B">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法定代表人电话：XXXXXXX      电子邮箱：XXXXXX@XXXXX（若授权他人办理并签署</w:t>
      </w:r>
      <w:r>
        <w:rPr>
          <w:rFonts w:hint="eastAsia" w:ascii="宋体" w:hAnsi="宋体" w:cs="宋体"/>
          <w:color w:val="auto"/>
          <w:sz w:val="24"/>
          <w:highlight w:val="none"/>
          <w:lang w:val="en-US" w:eastAsia="zh-CN"/>
        </w:rPr>
        <w:t>响应</w:t>
      </w:r>
      <w:r>
        <w:rPr>
          <w:rFonts w:hint="eastAsia" w:ascii="宋体" w:hAnsi="宋体" w:eastAsia="宋体" w:cs="宋体"/>
          <w:color w:val="auto"/>
          <w:sz w:val="24"/>
          <w:highlight w:val="none"/>
        </w:rPr>
        <w:t>文件的可不填写）</w:t>
      </w:r>
    </w:p>
    <w:p w14:paraId="540B1CBE">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（附：法定代表人身份证正反面复印件）</w:t>
      </w:r>
    </w:p>
    <w:p w14:paraId="3679CFE3">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0" w:firstLineChars="0"/>
        <w:textAlignment w:val="auto"/>
        <w:rPr>
          <w:rFonts w:hint="eastAsia" w:ascii="宋体" w:hAnsi="宋体" w:eastAsia="宋体" w:cs="宋体"/>
          <w:color w:val="auto"/>
          <w:sz w:val="24"/>
          <w:highlight w:val="none"/>
        </w:rPr>
      </w:pPr>
    </w:p>
    <w:p w14:paraId="6103CA6B">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6813F2F0">
      <w:pPr>
        <w:keepNext w:val="0"/>
        <w:keepLines w:val="0"/>
        <w:pageBreakBefore w:val="0"/>
        <w:widowControl w:val="0"/>
        <w:numPr>
          <w:ilvl w:val="0"/>
          <w:numId w:val="2"/>
        </w:numPr>
        <w:tabs>
          <w:tab w:val="left" w:pos="6300"/>
        </w:tabs>
        <w:kinsoku/>
        <w:wordWrap/>
        <w:overflowPunct/>
        <w:topLinePunct w:val="0"/>
        <w:autoSpaceDE/>
        <w:autoSpaceDN/>
        <w:bidi w:val="0"/>
        <w:adjustRightInd w:val="0"/>
        <w:snapToGrid w:val="0"/>
        <w:spacing w:beforeAutospacing="0" w:afterAutospacing="0" w:line="288"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法定代表人授权委托书（格式）</w:t>
      </w:r>
    </w:p>
    <w:p w14:paraId="29A9962C">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0" w:firstLineChars="0"/>
        <w:textAlignment w:val="auto"/>
        <w:rPr>
          <w:rFonts w:hint="eastAsia" w:ascii="宋体" w:hAnsi="宋体" w:eastAsia="宋体" w:cs="宋体"/>
          <w:color w:val="auto"/>
          <w:sz w:val="24"/>
          <w:szCs w:val="28"/>
          <w:highlight w:val="none"/>
        </w:rPr>
      </w:pPr>
    </w:p>
    <w:p w14:paraId="0DCBC662">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szCs w:val="28"/>
          <w:highlight w:val="none"/>
        </w:rPr>
        <w:t>项目名称</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p w14:paraId="4EA194CA">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0" w:firstLineChars="0"/>
        <w:textAlignment w:val="auto"/>
        <w:rPr>
          <w:rFonts w:hint="eastAsia" w:ascii="宋体" w:hAnsi="宋体" w:eastAsia="宋体" w:cs="宋体"/>
          <w:color w:val="auto"/>
          <w:sz w:val="24"/>
          <w:highlight w:val="none"/>
        </w:rPr>
      </w:pPr>
    </w:p>
    <w:p w14:paraId="5DA6E00D">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 xml:space="preserve"> </w:t>
      </w:r>
      <w:r>
        <w:rPr>
          <w:rFonts w:hint="eastAsia" w:ascii="宋体" w:hAnsi="宋体" w:cs="宋体"/>
          <w:color w:val="auto"/>
          <w:sz w:val="24"/>
          <w:highlight w:val="none"/>
          <w:u w:val="single"/>
          <w:lang w:val="en-US" w:eastAsia="zh-CN"/>
        </w:rPr>
        <w:t>重庆市文物考古研究院（重庆文化遗产保护中心）</w:t>
      </w:r>
      <w:r>
        <w:rPr>
          <w:rFonts w:hint="eastAsia" w:ascii="宋体" w:hAnsi="宋体" w:eastAsia="宋体" w:cs="宋体"/>
          <w:color w:val="auto"/>
          <w:sz w:val="24"/>
          <w:highlight w:val="none"/>
        </w:rPr>
        <w:t>：</w:t>
      </w:r>
    </w:p>
    <w:p w14:paraId="25AD96F5">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（供应商法定代表人名称）是</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（供应商名称）的法定代表人，特授权</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（被授权人姓名及身份证代码）代表我单位全权办理上述项目的</w:t>
      </w:r>
      <w:r>
        <w:rPr>
          <w:rFonts w:hint="eastAsia" w:ascii="宋体" w:hAnsi="宋体" w:cs="宋体"/>
          <w:color w:val="auto"/>
          <w:sz w:val="24"/>
          <w:highlight w:val="none"/>
          <w:lang w:val="en-US" w:eastAsia="zh-CN"/>
        </w:rPr>
        <w:t>响应</w:t>
      </w:r>
      <w:r>
        <w:rPr>
          <w:rFonts w:hint="eastAsia" w:ascii="宋体" w:hAnsi="宋体" w:eastAsia="宋体" w:cs="宋体"/>
          <w:color w:val="auto"/>
          <w:sz w:val="24"/>
          <w:highlight w:val="none"/>
        </w:rPr>
        <w:t>、谈判、签约等具体工作，并签署全部有关文件、协议及合同。</w:t>
      </w:r>
    </w:p>
    <w:p w14:paraId="0B63FC9A">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我单位对被授权人的签字负全部责任。</w:t>
      </w:r>
    </w:p>
    <w:p w14:paraId="1815C7DC">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在撤消授权的书面通知以前，本授权书一直有效。被授权人在授权书有效期内签署的所有文件不因授权的撤消而失效。</w:t>
      </w:r>
    </w:p>
    <w:p w14:paraId="30F503D6">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0" w:firstLineChars="0"/>
        <w:textAlignment w:val="auto"/>
        <w:rPr>
          <w:rFonts w:hint="eastAsia" w:ascii="宋体" w:hAnsi="宋体" w:eastAsia="宋体" w:cs="宋体"/>
          <w:color w:val="auto"/>
          <w:sz w:val="24"/>
          <w:highlight w:val="none"/>
        </w:rPr>
      </w:pPr>
    </w:p>
    <w:p w14:paraId="53701BE3">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0" w:firstLineChars="0"/>
        <w:textAlignment w:val="auto"/>
        <w:rPr>
          <w:rFonts w:hint="eastAsia" w:ascii="宋体" w:hAnsi="宋体" w:eastAsia="宋体" w:cs="宋体"/>
          <w:color w:val="auto"/>
          <w:sz w:val="24"/>
          <w:highlight w:val="none"/>
        </w:rPr>
      </w:pPr>
    </w:p>
    <w:p w14:paraId="6824E097">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被授权人：                                 供应商法定代表人：</w:t>
      </w:r>
    </w:p>
    <w:p w14:paraId="23524D13">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（签字或盖章）                                （签字或盖章）</w:t>
      </w:r>
    </w:p>
    <w:p w14:paraId="0F541800">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0" w:firstLineChars="0"/>
        <w:textAlignment w:val="auto"/>
        <w:rPr>
          <w:rFonts w:hint="eastAsia" w:ascii="宋体" w:hAnsi="宋体" w:eastAsia="宋体" w:cs="宋体"/>
          <w:color w:val="auto"/>
          <w:sz w:val="24"/>
          <w:szCs w:val="28"/>
          <w:highlight w:val="none"/>
        </w:rPr>
      </w:pPr>
    </w:p>
    <w:p w14:paraId="55E43A24">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0" w:firstLineChars="0"/>
        <w:textAlignment w:val="auto"/>
        <w:rPr>
          <w:rFonts w:hint="eastAsia" w:ascii="宋体" w:hAnsi="宋体" w:eastAsia="宋体" w:cs="宋体"/>
          <w:color w:val="auto"/>
          <w:sz w:val="24"/>
          <w:highlight w:val="none"/>
        </w:rPr>
      </w:pPr>
    </w:p>
    <w:p w14:paraId="13A29803">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（附：被授权人身份证正反面复印件）</w:t>
      </w:r>
    </w:p>
    <w:p w14:paraId="27111F49">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16A4D775">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0" w:firstLineChars="0"/>
        <w:textAlignment w:val="auto"/>
        <w:rPr>
          <w:rFonts w:hint="eastAsia" w:ascii="宋体" w:hAnsi="宋体" w:eastAsia="宋体" w:cs="宋体"/>
          <w:color w:val="auto"/>
          <w:sz w:val="24"/>
          <w:highlight w:val="none"/>
        </w:rPr>
      </w:pPr>
    </w:p>
    <w:p w14:paraId="046F82DC">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0" w:firstLineChars="0"/>
        <w:textAlignment w:val="auto"/>
        <w:rPr>
          <w:rFonts w:hint="eastAsia" w:ascii="宋体" w:hAnsi="宋体" w:eastAsia="宋体" w:cs="宋体"/>
          <w:color w:val="auto"/>
          <w:sz w:val="24"/>
          <w:highlight w:val="none"/>
        </w:rPr>
      </w:pPr>
    </w:p>
    <w:p w14:paraId="65C8FDCC">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right="480" w:firstLine="480" w:firstLineChars="200"/>
        <w:jc w:val="righ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（供应商公章）</w:t>
      </w:r>
    </w:p>
    <w:p w14:paraId="7EA204F3">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right="480" w:firstLine="480" w:firstLineChars="200"/>
        <w:jc w:val="righ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年   月   日</w:t>
      </w:r>
    </w:p>
    <w:p w14:paraId="350A34C1">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right="480"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被授权人电话：XXXXXXX     电子邮箱：XXXXXX@XXXXX（若法定代表人办理并签署</w:t>
      </w:r>
      <w:r>
        <w:rPr>
          <w:rFonts w:hint="eastAsia" w:ascii="宋体" w:hAnsi="宋体" w:cs="宋体"/>
          <w:color w:val="auto"/>
          <w:sz w:val="24"/>
          <w:highlight w:val="none"/>
          <w:lang w:val="en-US" w:eastAsia="zh-CN"/>
        </w:rPr>
        <w:t>响应</w:t>
      </w:r>
      <w:r>
        <w:rPr>
          <w:rFonts w:hint="eastAsia" w:ascii="宋体" w:hAnsi="宋体" w:eastAsia="宋体" w:cs="宋体"/>
          <w:color w:val="auto"/>
          <w:sz w:val="24"/>
          <w:highlight w:val="none"/>
        </w:rPr>
        <w:t>文件的可不填写）</w:t>
      </w:r>
    </w:p>
    <w:p w14:paraId="6CC2A676">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right="480"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w:t>
      </w:r>
    </w:p>
    <w:p w14:paraId="5570D3EB">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288" w:lineRule="auto"/>
        <w:ind w:left="570" w:leftChars="0"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1.若为法定代表人办理并签署</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文件的，不提供此文件。</w:t>
      </w:r>
    </w:p>
    <w:p w14:paraId="27682B47">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5D84F433">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（四）基本资格条件承诺函（格式）</w:t>
      </w:r>
    </w:p>
    <w:p w14:paraId="43FBBE71">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基本资格条件承诺函</w:t>
      </w:r>
    </w:p>
    <w:p w14:paraId="7CAA90E5">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0" w:firstLineChars="0"/>
        <w:textAlignment w:val="auto"/>
        <w:rPr>
          <w:rFonts w:hint="eastAsia" w:ascii="宋体" w:hAnsi="宋体" w:eastAsia="宋体" w:cs="宋体"/>
          <w:color w:val="auto"/>
          <w:sz w:val="24"/>
          <w:szCs w:val="24"/>
          <w:highlight w:val="none"/>
        </w:rPr>
      </w:pPr>
    </w:p>
    <w:p w14:paraId="78DD5B46">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重庆市文物考古研究院（重庆文化遗产保护中心）</w:t>
      </w:r>
      <w:r>
        <w:rPr>
          <w:rFonts w:hint="eastAsia" w:ascii="宋体" w:hAnsi="宋体" w:eastAsia="宋体" w:cs="宋体"/>
          <w:color w:val="auto"/>
          <w:sz w:val="24"/>
          <w:szCs w:val="24"/>
          <w:highlight w:val="none"/>
        </w:rPr>
        <w:t>：</w:t>
      </w:r>
    </w:p>
    <w:p w14:paraId="0E044591">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（供应商名称）郑重承诺：</w:t>
      </w:r>
    </w:p>
    <w:p w14:paraId="35C948F3">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1.我方具有良好的商业信誉和健全的财务会计制度，具有履行合同所必需的设备和专业技术能力，具</w:t>
      </w:r>
      <w:r>
        <w:rPr>
          <w:rFonts w:hint="eastAsia" w:ascii="宋体" w:hAnsi="宋体" w:eastAsia="宋体" w:cs="宋体"/>
          <w:color w:val="auto"/>
          <w:sz w:val="24"/>
          <w:szCs w:val="24"/>
          <w:highlight w:val="none"/>
          <w:lang w:val="zh-CN"/>
        </w:rPr>
        <w:t>有依法缴纳税收和社会保障金的良好记录</w:t>
      </w:r>
      <w:r>
        <w:rPr>
          <w:rFonts w:hint="eastAsia" w:ascii="宋体" w:hAnsi="宋体" w:eastAsia="宋体" w:cs="宋体"/>
          <w:color w:val="auto"/>
          <w:sz w:val="24"/>
          <w:szCs w:val="24"/>
          <w:highlight w:val="none"/>
        </w:rPr>
        <w:t>，满足法律、行政法规规定的其他条件，参加本项目采购活动前三年内无重大违法活动记录。</w:t>
      </w:r>
    </w:p>
    <w:p w14:paraId="7DB30690">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2.我方未列入在信用中国网站（www.creditchina.gov.cn）“失信被执行人”、“重大税收违法案件当事人名单”中，也未列入中国政府采购网（www.ccgp.gov.cn）“政府采购严重违法失信行为记录名单”中。</w:t>
      </w:r>
    </w:p>
    <w:p w14:paraId="44599E7A">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3.我方在采购项目评审（评标）环节结束后，随时接受采购人的检查验证，配合提供相关证明材料，证明符合《中华人民共和国政府采购法》规定的投标人基本资格条件。</w:t>
      </w:r>
    </w:p>
    <w:p w14:paraId="13568AED">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我方对以上承诺负全部法律责任。</w:t>
      </w:r>
    </w:p>
    <w:p w14:paraId="14FCE19F">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特此承诺。</w:t>
      </w:r>
    </w:p>
    <w:p w14:paraId="39247FC4">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0" w:firstLineChars="0"/>
        <w:textAlignment w:val="auto"/>
        <w:rPr>
          <w:rFonts w:hint="eastAsia" w:ascii="宋体" w:hAnsi="宋体" w:eastAsia="宋体" w:cs="宋体"/>
          <w:color w:val="auto"/>
          <w:sz w:val="24"/>
          <w:szCs w:val="24"/>
          <w:highlight w:val="none"/>
        </w:rPr>
      </w:pPr>
    </w:p>
    <w:p w14:paraId="08C87EB9">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right="424" w:firstLine="480" w:firstLineChars="20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（供应商公章）</w:t>
      </w:r>
    </w:p>
    <w:p w14:paraId="0437B3E3">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   月   日</w:t>
      </w:r>
    </w:p>
    <w:p w14:paraId="4840CFDD">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240" w:lineRule="auto"/>
        <w:ind w:leftChars="0" w:firstLine="0" w:firstLineChars="0"/>
        <w:textAlignment w:val="auto"/>
        <w:rPr>
          <w:rFonts w:hint="eastAsia" w:ascii="宋体" w:hAnsi="宋体" w:eastAsia="宋体" w:cs="宋体"/>
          <w:color w:val="auto"/>
          <w:highlight w:val="none"/>
          <w:lang w:val="en-US" w:eastAsia="zh-CN"/>
        </w:rPr>
      </w:pPr>
    </w:p>
    <w:p w14:paraId="04A49687">
      <w:pPr>
        <w:rPr>
          <w:rFonts w:hint="eastAsia" w:ascii="宋体" w:hAnsi="宋体" w:eastAsia="宋体" w:cs="宋体"/>
          <w:color w:val="auto"/>
          <w:highlight w:val="none"/>
          <w:lang w:val="en-US" w:eastAsia="zh-CN"/>
        </w:rPr>
      </w:pPr>
    </w:p>
    <w:p w14:paraId="480710D9">
      <w:pPr>
        <w:pStyle w:val="6"/>
        <w:rPr>
          <w:rFonts w:hint="eastAsia" w:ascii="宋体" w:hAnsi="宋体" w:eastAsia="宋体" w:cs="宋体"/>
          <w:color w:val="auto"/>
          <w:highlight w:val="none"/>
          <w:lang w:val="en-US" w:eastAsia="zh-CN"/>
        </w:rPr>
      </w:pPr>
    </w:p>
    <w:p w14:paraId="13E494C6">
      <w:pPr>
        <w:rPr>
          <w:rFonts w:hint="eastAsia" w:ascii="宋体" w:hAnsi="宋体" w:eastAsia="宋体" w:cs="宋体"/>
          <w:color w:val="auto"/>
          <w:highlight w:val="none"/>
          <w:lang w:val="en-US" w:eastAsia="zh-CN"/>
        </w:rPr>
      </w:pPr>
    </w:p>
    <w:p w14:paraId="2AE0C57D">
      <w:pPr>
        <w:pStyle w:val="6"/>
        <w:rPr>
          <w:rFonts w:hint="eastAsia" w:ascii="宋体" w:hAnsi="宋体" w:eastAsia="宋体" w:cs="宋体"/>
          <w:color w:val="auto"/>
          <w:highlight w:val="none"/>
          <w:lang w:val="en-US" w:eastAsia="zh-CN"/>
        </w:rPr>
      </w:pPr>
    </w:p>
    <w:p w14:paraId="5BF7ACEC">
      <w:pPr>
        <w:rPr>
          <w:rFonts w:hint="eastAsia" w:ascii="宋体" w:hAnsi="宋体" w:eastAsia="宋体" w:cs="宋体"/>
          <w:color w:val="auto"/>
          <w:highlight w:val="none"/>
          <w:lang w:val="en-US" w:eastAsia="zh-CN"/>
        </w:rPr>
      </w:pPr>
    </w:p>
    <w:p w14:paraId="3F23AA5C">
      <w:pPr>
        <w:pStyle w:val="6"/>
        <w:rPr>
          <w:rFonts w:hint="eastAsia" w:ascii="宋体" w:hAnsi="宋体" w:eastAsia="宋体" w:cs="宋体"/>
          <w:color w:val="auto"/>
          <w:highlight w:val="none"/>
          <w:lang w:val="en-US" w:eastAsia="zh-CN"/>
        </w:rPr>
      </w:pPr>
    </w:p>
    <w:p w14:paraId="21E7CFE4">
      <w:pPr>
        <w:rPr>
          <w:rFonts w:hint="eastAsia" w:ascii="宋体" w:hAnsi="宋体" w:eastAsia="宋体" w:cs="宋体"/>
          <w:color w:val="auto"/>
          <w:highlight w:val="none"/>
          <w:lang w:val="en-US" w:eastAsia="zh-CN"/>
        </w:rPr>
      </w:pPr>
    </w:p>
    <w:p w14:paraId="68761418">
      <w:pPr>
        <w:pStyle w:val="6"/>
        <w:rPr>
          <w:rFonts w:hint="eastAsia" w:ascii="宋体" w:hAnsi="宋体" w:eastAsia="宋体" w:cs="宋体"/>
          <w:color w:val="auto"/>
          <w:highlight w:val="none"/>
          <w:lang w:val="en-US" w:eastAsia="zh-CN"/>
        </w:rPr>
      </w:pPr>
    </w:p>
    <w:p w14:paraId="20654214">
      <w:pPr>
        <w:rPr>
          <w:rFonts w:hint="eastAsia" w:ascii="宋体" w:hAnsi="宋体" w:eastAsia="宋体" w:cs="宋体"/>
          <w:color w:val="auto"/>
          <w:highlight w:val="none"/>
          <w:lang w:val="en-US" w:eastAsia="zh-CN"/>
        </w:rPr>
      </w:pPr>
    </w:p>
    <w:p w14:paraId="2F2A058F">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jc w:val="left"/>
        <w:textAlignment w:val="auto"/>
        <w:rPr>
          <w:rFonts w:hint="eastAsia" w:ascii="宋体" w:hAnsi="宋体" w:eastAsia="宋体" w:cs="宋体"/>
          <w:color w:val="auto"/>
          <w:sz w:val="24"/>
          <w:szCs w:val="24"/>
          <w:highlight w:val="none"/>
        </w:rPr>
      </w:pPr>
    </w:p>
    <w:p w14:paraId="0D8D7882">
      <w:pPr>
        <w:keepNext w:val="0"/>
        <w:keepLines w:val="0"/>
        <w:pageBreakBefore w:val="0"/>
        <w:widowControl w:val="0"/>
        <w:tabs>
          <w:tab w:val="left" w:pos="6300"/>
        </w:tabs>
        <w:kinsoku/>
        <w:wordWrap/>
        <w:overflowPunct/>
        <w:topLinePunct w:val="0"/>
        <w:autoSpaceDE/>
        <w:autoSpaceDN/>
        <w:bidi w:val="0"/>
        <w:adjustRightInd w:val="0"/>
        <w:snapToGrid w:val="0"/>
        <w:spacing w:beforeAutospacing="0" w:afterAutospacing="0" w:line="288" w:lineRule="auto"/>
        <w:ind w:firstLine="480"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五</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廉政风险防范承诺</w:t>
      </w:r>
      <w:r>
        <w:rPr>
          <w:rFonts w:hint="eastAsia" w:ascii="宋体" w:hAnsi="宋体" w:eastAsia="宋体" w:cs="宋体"/>
          <w:color w:val="auto"/>
          <w:sz w:val="24"/>
          <w:szCs w:val="24"/>
          <w:highlight w:val="none"/>
        </w:rPr>
        <w:t>（格式）</w:t>
      </w:r>
    </w:p>
    <w:p w14:paraId="642B6455">
      <w:pPr>
        <w:spacing w:before="156" w:beforeLines="50" w:after="156" w:afterLines="50" w:line="480" w:lineRule="auto"/>
        <w:jc w:val="center"/>
        <w:rPr>
          <w:rFonts w:hint="eastAsia" w:ascii="方正小标宋_GBK" w:hAnsi="宋体" w:eastAsia="方正小标宋_GBK"/>
          <w:color w:val="auto"/>
          <w:sz w:val="44"/>
          <w:szCs w:val="44"/>
          <w:highlight w:val="none"/>
        </w:rPr>
      </w:pPr>
      <w:r>
        <w:rPr>
          <w:rFonts w:hint="eastAsia" w:ascii="方正小标宋_GBK" w:hAnsi="宋体" w:eastAsia="方正小标宋_GBK"/>
          <w:color w:val="auto"/>
          <w:sz w:val="44"/>
          <w:szCs w:val="44"/>
          <w:highlight w:val="none"/>
        </w:rPr>
        <w:t>廉政风险防范承诺</w:t>
      </w:r>
    </w:p>
    <w:p w14:paraId="6A9DF203">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为配合国家有关部门廉政建设的规定，保证采购项目实施高效优质，保证资金的安全和有效使用，我方郑重承诺：</w:t>
      </w:r>
    </w:p>
    <w:p w14:paraId="72D5CE1B">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1、不得向</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lang w:val="zh-CN"/>
        </w:rPr>
        <w:t>员工及其家属、子女、朋友赠送礼金、有价证券和物品；</w:t>
      </w:r>
    </w:p>
    <w:p w14:paraId="4556E5C0">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2、不得擅自与</w:t>
      </w:r>
      <w:r>
        <w:rPr>
          <w:rFonts w:hint="eastAsia" w:ascii="宋体" w:hAnsi="宋体" w:eastAsia="宋体" w:cs="宋体"/>
          <w:color w:val="auto"/>
          <w:sz w:val="24"/>
          <w:szCs w:val="24"/>
          <w:highlight w:val="none"/>
          <w:lang w:val="zh-CN" w:eastAsia="zh-CN"/>
        </w:rPr>
        <w:t>采购人</w:t>
      </w:r>
      <w:r>
        <w:rPr>
          <w:rFonts w:hint="eastAsia" w:ascii="宋体" w:hAnsi="宋体" w:eastAsia="宋体" w:cs="宋体"/>
          <w:color w:val="auto"/>
          <w:sz w:val="24"/>
          <w:szCs w:val="24"/>
          <w:highlight w:val="none"/>
          <w:lang w:val="zh-CN"/>
        </w:rPr>
        <w:t>员工就某商品、材料、服务、工程项目的供应、建设问题进行私下商谈或者达成默契；</w:t>
      </w:r>
    </w:p>
    <w:p w14:paraId="5D4A5DE7">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3、不得为</w:t>
      </w:r>
      <w:r>
        <w:rPr>
          <w:rFonts w:hint="eastAsia" w:ascii="宋体" w:hAnsi="宋体" w:eastAsia="宋体" w:cs="宋体"/>
          <w:color w:val="auto"/>
          <w:sz w:val="24"/>
          <w:szCs w:val="24"/>
          <w:highlight w:val="none"/>
          <w:lang w:val="zh-CN" w:eastAsia="zh-CN"/>
        </w:rPr>
        <w:t>采购人</w:t>
      </w:r>
      <w:r>
        <w:rPr>
          <w:rFonts w:hint="eastAsia" w:ascii="宋体" w:hAnsi="宋体" w:eastAsia="宋体" w:cs="宋体"/>
          <w:color w:val="auto"/>
          <w:sz w:val="24"/>
          <w:szCs w:val="24"/>
          <w:highlight w:val="none"/>
          <w:lang w:val="zh-CN"/>
        </w:rPr>
        <w:t>员工个人及其家属、子女、朋友购置或提供通讯工具、交通工具、家电、旅游、娱乐活动等等；</w:t>
      </w:r>
    </w:p>
    <w:p w14:paraId="5782C7DC">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4、乙方不得为</w:t>
      </w:r>
      <w:r>
        <w:rPr>
          <w:rFonts w:hint="eastAsia" w:ascii="宋体" w:hAnsi="宋体" w:eastAsia="宋体" w:cs="宋体"/>
          <w:color w:val="auto"/>
          <w:sz w:val="24"/>
          <w:szCs w:val="24"/>
          <w:highlight w:val="none"/>
          <w:lang w:val="zh-CN" w:eastAsia="zh-CN"/>
        </w:rPr>
        <w:t>采购人</w:t>
      </w:r>
      <w:r>
        <w:rPr>
          <w:rFonts w:hint="eastAsia" w:ascii="宋体" w:hAnsi="宋体" w:eastAsia="宋体" w:cs="宋体"/>
          <w:color w:val="auto"/>
          <w:sz w:val="24"/>
          <w:szCs w:val="24"/>
          <w:highlight w:val="none"/>
          <w:lang w:val="zh-CN"/>
        </w:rPr>
        <w:t>员工及其家属、子女、朋友报销任何费用；</w:t>
      </w:r>
    </w:p>
    <w:p w14:paraId="4CCA9B68">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5、乙方不得为</w:t>
      </w:r>
      <w:r>
        <w:rPr>
          <w:rFonts w:hint="eastAsia" w:ascii="宋体" w:hAnsi="宋体" w:eastAsia="宋体" w:cs="宋体"/>
          <w:color w:val="auto"/>
          <w:sz w:val="24"/>
          <w:szCs w:val="24"/>
          <w:highlight w:val="none"/>
          <w:lang w:val="zh-CN" w:eastAsia="zh-CN"/>
        </w:rPr>
        <w:t>采购人</w:t>
      </w:r>
      <w:r>
        <w:rPr>
          <w:rFonts w:hint="eastAsia" w:ascii="宋体" w:hAnsi="宋体" w:eastAsia="宋体" w:cs="宋体"/>
          <w:color w:val="auto"/>
          <w:sz w:val="24"/>
          <w:szCs w:val="24"/>
          <w:highlight w:val="none"/>
          <w:lang w:val="zh-CN"/>
        </w:rPr>
        <w:t>员工及其家属、子女、朋友提供任何好处或便利，包括介绍工作、介绍项目、提供获利机会及借贷等事宜；</w:t>
      </w:r>
    </w:p>
    <w:p w14:paraId="0620D95A">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6、在整个货物（或服务）交易环节，均应公开透明进行，不得私下商议。所有交易行为均应符合商业通行惯例及法律法规，如</w:t>
      </w:r>
      <w:r>
        <w:rPr>
          <w:rFonts w:hint="eastAsia" w:ascii="宋体" w:hAnsi="宋体" w:eastAsia="宋体" w:cs="宋体"/>
          <w:color w:val="auto"/>
          <w:sz w:val="24"/>
          <w:szCs w:val="24"/>
          <w:highlight w:val="none"/>
          <w:lang w:val="zh-CN" w:eastAsia="zh-CN"/>
        </w:rPr>
        <w:t>采购人</w:t>
      </w:r>
      <w:r>
        <w:rPr>
          <w:rFonts w:hint="eastAsia" w:ascii="宋体" w:hAnsi="宋体" w:eastAsia="宋体" w:cs="宋体"/>
          <w:color w:val="auto"/>
          <w:sz w:val="24"/>
          <w:szCs w:val="24"/>
          <w:highlight w:val="none"/>
          <w:lang w:val="zh-CN"/>
        </w:rPr>
        <w:t>员工有违反交易惯例的行为，如个人签约或另行指定转款账户的行为，均视为无效。</w:t>
      </w:r>
    </w:p>
    <w:p w14:paraId="4F36792D">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请采购方及其上级纪检和监察部门监督执行，如我方违反上述承诺，采购方可取消我方成交资格，涉嫌犯罪的除承担刑事责任外，给采购方造成经济损失的，应无条件予以赔偿。</w:t>
      </w:r>
    </w:p>
    <w:p w14:paraId="6AA658DA">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p>
    <w:p w14:paraId="1C78DAF7">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供应商（公章）：</w:t>
      </w:r>
    </w:p>
    <w:p w14:paraId="4D81BB97">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法定代表人或其授权的代理人（签字或签章）：</w:t>
      </w:r>
    </w:p>
    <w:p w14:paraId="2F43AF8A">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zh-CN"/>
        </w:rPr>
        <w:t>202</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zh-CN"/>
        </w:rPr>
        <w:t xml:space="preserve">年  月  日 </w:t>
      </w:r>
    </w:p>
    <w:sectPr>
      <w:pgSz w:w="11906" w:h="16838"/>
      <w:pgMar w:top="1984" w:right="1446" w:bottom="1644" w:left="1446"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7A0B6ECF-B25E-488D-9CE8-360544E9BAB7}"/>
  </w:font>
  <w:font w:name="方正仿宋_GBK">
    <w:panose1 w:val="02000000000000000000"/>
    <w:charset w:val="86"/>
    <w:family w:val="auto"/>
    <w:pitch w:val="default"/>
    <w:sig w:usb0="00000001" w:usb1="080E0000" w:usb2="00000000" w:usb3="00000000" w:csb0="00040000" w:csb1="00000000"/>
    <w:embedRegular r:id="rId2" w:fontKey="{B214F6A4-CEF3-4DE7-88A3-C63451903538}"/>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3" w:fontKey="{F8E2C4A0-F59E-4869-8E08-65EB5A1673B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22712">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9EFA29">
                          <w:pPr>
                            <w:pStyle w:val="9"/>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79EFA29">
                    <w:pPr>
                      <w:pStyle w:val="9"/>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EACBD7"/>
    <w:multiLevelType w:val="singleLevel"/>
    <w:tmpl w:val="1CEACBD7"/>
    <w:lvl w:ilvl="0" w:tentative="0">
      <w:start w:val="2"/>
      <w:numFmt w:val="chineseCounting"/>
      <w:suff w:val="nothing"/>
      <w:lvlText w:val="%1、"/>
      <w:lvlJc w:val="left"/>
      <w:rPr>
        <w:rFonts w:hint="eastAsia"/>
      </w:rPr>
    </w:lvl>
  </w:abstractNum>
  <w:abstractNum w:abstractNumId="1">
    <w:nsid w:val="2C7BAC3A"/>
    <w:multiLevelType w:val="singleLevel"/>
    <w:tmpl w:val="2C7BAC3A"/>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VjNWI3NDVkMWFmZDEwZDc1ZmM4MzZlZTgwMTQ0NTkifQ=="/>
  </w:docVars>
  <w:rsids>
    <w:rsidRoot w:val="59E049F9"/>
    <w:rsid w:val="00064C13"/>
    <w:rsid w:val="00086F93"/>
    <w:rsid w:val="0017384A"/>
    <w:rsid w:val="001B364E"/>
    <w:rsid w:val="001D10D5"/>
    <w:rsid w:val="00246061"/>
    <w:rsid w:val="002E6413"/>
    <w:rsid w:val="00304D8F"/>
    <w:rsid w:val="0030640D"/>
    <w:rsid w:val="00342047"/>
    <w:rsid w:val="003548C5"/>
    <w:rsid w:val="0036487C"/>
    <w:rsid w:val="00367CE0"/>
    <w:rsid w:val="003D1991"/>
    <w:rsid w:val="003E7BD8"/>
    <w:rsid w:val="00404D54"/>
    <w:rsid w:val="00421585"/>
    <w:rsid w:val="004A3312"/>
    <w:rsid w:val="004B48CF"/>
    <w:rsid w:val="004E3546"/>
    <w:rsid w:val="00581752"/>
    <w:rsid w:val="005F4816"/>
    <w:rsid w:val="00614881"/>
    <w:rsid w:val="00615EA1"/>
    <w:rsid w:val="006861B0"/>
    <w:rsid w:val="0073688F"/>
    <w:rsid w:val="007369A0"/>
    <w:rsid w:val="00786BF5"/>
    <w:rsid w:val="007C7BC8"/>
    <w:rsid w:val="008C4FCD"/>
    <w:rsid w:val="009923D2"/>
    <w:rsid w:val="00993073"/>
    <w:rsid w:val="00A46F64"/>
    <w:rsid w:val="00A87144"/>
    <w:rsid w:val="00AE3302"/>
    <w:rsid w:val="00C11603"/>
    <w:rsid w:val="00C313FB"/>
    <w:rsid w:val="00C646FA"/>
    <w:rsid w:val="00D115E7"/>
    <w:rsid w:val="00D119D7"/>
    <w:rsid w:val="00D13CB1"/>
    <w:rsid w:val="00D32689"/>
    <w:rsid w:val="00D70EC2"/>
    <w:rsid w:val="00DA54CF"/>
    <w:rsid w:val="00DA5DAF"/>
    <w:rsid w:val="00DB4E80"/>
    <w:rsid w:val="00E57DE3"/>
    <w:rsid w:val="00F0487F"/>
    <w:rsid w:val="00F4063A"/>
    <w:rsid w:val="00F46C9A"/>
    <w:rsid w:val="01180BF5"/>
    <w:rsid w:val="01543C57"/>
    <w:rsid w:val="01B0664E"/>
    <w:rsid w:val="022E1402"/>
    <w:rsid w:val="022F436A"/>
    <w:rsid w:val="031464AA"/>
    <w:rsid w:val="038327FA"/>
    <w:rsid w:val="03AC7D7B"/>
    <w:rsid w:val="04182746"/>
    <w:rsid w:val="0534627A"/>
    <w:rsid w:val="05607B00"/>
    <w:rsid w:val="058B3D03"/>
    <w:rsid w:val="073D32F5"/>
    <w:rsid w:val="079832B5"/>
    <w:rsid w:val="084C5688"/>
    <w:rsid w:val="085E7AE4"/>
    <w:rsid w:val="086230FE"/>
    <w:rsid w:val="088B404A"/>
    <w:rsid w:val="08BD573E"/>
    <w:rsid w:val="09A3577C"/>
    <w:rsid w:val="09FD7D81"/>
    <w:rsid w:val="0AA12C4B"/>
    <w:rsid w:val="0ACD1B3D"/>
    <w:rsid w:val="0ADD3FAE"/>
    <w:rsid w:val="0B122005"/>
    <w:rsid w:val="0B9454AB"/>
    <w:rsid w:val="0BA61553"/>
    <w:rsid w:val="0BD41410"/>
    <w:rsid w:val="0BFC422F"/>
    <w:rsid w:val="0C296FB5"/>
    <w:rsid w:val="0CDD2D53"/>
    <w:rsid w:val="0D415FD6"/>
    <w:rsid w:val="0DC6708C"/>
    <w:rsid w:val="0E3736F1"/>
    <w:rsid w:val="0E464928"/>
    <w:rsid w:val="0E8518F4"/>
    <w:rsid w:val="103C1664"/>
    <w:rsid w:val="10E540B1"/>
    <w:rsid w:val="117D4B05"/>
    <w:rsid w:val="131C260B"/>
    <w:rsid w:val="136E71D2"/>
    <w:rsid w:val="13EA56DA"/>
    <w:rsid w:val="140D7D73"/>
    <w:rsid w:val="1421769B"/>
    <w:rsid w:val="14243BCA"/>
    <w:rsid w:val="148B7538"/>
    <w:rsid w:val="14932D03"/>
    <w:rsid w:val="14C46641"/>
    <w:rsid w:val="15791A87"/>
    <w:rsid w:val="15C059F3"/>
    <w:rsid w:val="1663076D"/>
    <w:rsid w:val="16771212"/>
    <w:rsid w:val="17CE60BA"/>
    <w:rsid w:val="17DA3AC1"/>
    <w:rsid w:val="181B0BD3"/>
    <w:rsid w:val="183D0015"/>
    <w:rsid w:val="18F41B50"/>
    <w:rsid w:val="191E1684"/>
    <w:rsid w:val="1972585E"/>
    <w:rsid w:val="19F87477"/>
    <w:rsid w:val="1A5F2FF9"/>
    <w:rsid w:val="1A736AA5"/>
    <w:rsid w:val="1B4E7A13"/>
    <w:rsid w:val="1B541453"/>
    <w:rsid w:val="1C1A2D59"/>
    <w:rsid w:val="1C2C33AF"/>
    <w:rsid w:val="1C914DAE"/>
    <w:rsid w:val="1CA83640"/>
    <w:rsid w:val="1CB239FF"/>
    <w:rsid w:val="1CB659F1"/>
    <w:rsid w:val="1D167BBB"/>
    <w:rsid w:val="1E193E07"/>
    <w:rsid w:val="1E5F5CBE"/>
    <w:rsid w:val="1EFF2FFD"/>
    <w:rsid w:val="1F51312D"/>
    <w:rsid w:val="1FAD4807"/>
    <w:rsid w:val="1FCA360B"/>
    <w:rsid w:val="1FD46237"/>
    <w:rsid w:val="201C6E50"/>
    <w:rsid w:val="20A57BD4"/>
    <w:rsid w:val="20C544AF"/>
    <w:rsid w:val="20C62DFD"/>
    <w:rsid w:val="20CB6CB7"/>
    <w:rsid w:val="213B5E42"/>
    <w:rsid w:val="214C2ADA"/>
    <w:rsid w:val="21CB2CC4"/>
    <w:rsid w:val="220152DE"/>
    <w:rsid w:val="22105521"/>
    <w:rsid w:val="226C29AA"/>
    <w:rsid w:val="22BB723B"/>
    <w:rsid w:val="240D7F6A"/>
    <w:rsid w:val="25981347"/>
    <w:rsid w:val="26072AA1"/>
    <w:rsid w:val="26E56F7C"/>
    <w:rsid w:val="270B65FE"/>
    <w:rsid w:val="270D67FE"/>
    <w:rsid w:val="27133A29"/>
    <w:rsid w:val="27321A96"/>
    <w:rsid w:val="27A74CA5"/>
    <w:rsid w:val="280C017D"/>
    <w:rsid w:val="283006CB"/>
    <w:rsid w:val="289A51D2"/>
    <w:rsid w:val="28CF44CD"/>
    <w:rsid w:val="28D11CDD"/>
    <w:rsid w:val="28EF40E2"/>
    <w:rsid w:val="29004099"/>
    <w:rsid w:val="29010B9E"/>
    <w:rsid w:val="29410070"/>
    <w:rsid w:val="29D00809"/>
    <w:rsid w:val="2AB96756"/>
    <w:rsid w:val="2ADC41F2"/>
    <w:rsid w:val="2AFE685E"/>
    <w:rsid w:val="2B094C67"/>
    <w:rsid w:val="2B2D0EF2"/>
    <w:rsid w:val="2B9106D3"/>
    <w:rsid w:val="2BBF5B57"/>
    <w:rsid w:val="2BED6535"/>
    <w:rsid w:val="2C482A44"/>
    <w:rsid w:val="2C964A81"/>
    <w:rsid w:val="2CF27CFD"/>
    <w:rsid w:val="2D1E40C1"/>
    <w:rsid w:val="2DB9081B"/>
    <w:rsid w:val="2DDD3F94"/>
    <w:rsid w:val="2E3A1195"/>
    <w:rsid w:val="2E3B3926"/>
    <w:rsid w:val="2E484F4F"/>
    <w:rsid w:val="2EBF2F4F"/>
    <w:rsid w:val="2EC20BCD"/>
    <w:rsid w:val="2EC211EA"/>
    <w:rsid w:val="2FC11C09"/>
    <w:rsid w:val="2FC63CD1"/>
    <w:rsid w:val="304765B2"/>
    <w:rsid w:val="30784247"/>
    <w:rsid w:val="30D23125"/>
    <w:rsid w:val="315A2315"/>
    <w:rsid w:val="328062C5"/>
    <w:rsid w:val="32B617CD"/>
    <w:rsid w:val="32C20171"/>
    <w:rsid w:val="32C610A5"/>
    <w:rsid w:val="32D54349"/>
    <w:rsid w:val="32F5491E"/>
    <w:rsid w:val="33354DE7"/>
    <w:rsid w:val="33907E8C"/>
    <w:rsid w:val="33E8735C"/>
    <w:rsid w:val="343E5F1E"/>
    <w:rsid w:val="347F2794"/>
    <w:rsid w:val="34884436"/>
    <w:rsid w:val="349E3D54"/>
    <w:rsid w:val="34A62CC8"/>
    <w:rsid w:val="356C00F9"/>
    <w:rsid w:val="371E0A02"/>
    <w:rsid w:val="381C797F"/>
    <w:rsid w:val="38926838"/>
    <w:rsid w:val="38AE3672"/>
    <w:rsid w:val="39002DFE"/>
    <w:rsid w:val="39FA6443"/>
    <w:rsid w:val="3A045513"/>
    <w:rsid w:val="3A4B48A0"/>
    <w:rsid w:val="3AA06FEA"/>
    <w:rsid w:val="3AB46F3A"/>
    <w:rsid w:val="3AE05CBA"/>
    <w:rsid w:val="3AE25855"/>
    <w:rsid w:val="3B18594C"/>
    <w:rsid w:val="3B924490"/>
    <w:rsid w:val="3B997DD0"/>
    <w:rsid w:val="3BE15B0C"/>
    <w:rsid w:val="3C07622C"/>
    <w:rsid w:val="3C1423E3"/>
    <w:rsid w:val="3C1B5BAC"/>
    <w:rsid w:val="3C463BC1"/>
    <w:rsid w:val="3C4F65B4"/>
    <w:rsid w:val="3E720C9E"/>
    <w:rsid w:val="3EC872CE"/>
    <w:rsid w:val="3EE37A50"/>
    <w:rsid w:val="3F0A35CC"/>
    <w:rsid w:val="3F1E3E33"/>
    <w:rsid w:val="3F9E5AC2"/>
    <w:rsid w:val="4048174B"/>
    <w:rsid w:val="405614B0"/>
    <w:rsid w:val="40E46B3F"/>
    <w:rsid w:val="410127AD"/>
    <w:rsid w:val="41197AF6"/>
    <w:rsid w:val="41612E9A"/>
    <w:rsid w:val="41662610"/>
    <w:rsid w:val="4168282C"/>
    <w:rsid w:val="41742F7F"/>
    <w:rsid w:val="41AA66E7"/>
    <w:rsid w:val="41DE4E43"/>
    <w:rsid w:val="424B3172"/>
    <w:rsid w:val="42725710"/>
    <w:rsid w:val="42C45840"/>
    <w:rsid w:val="43F81467"/>
    <w:rsid w:val="44562E10"/>
    <w:rsid w:val="448F3192"/>
    <w:rsid w:val="44A1408B"/>
    <w:rsid w:val="44A742AF"/>
    <w:rsid w:val="44C81693"/>
    <w:rsid w:val="466E2692"/>
    <w:rsid w:val="46A77952"/>
    <w:rsid w:val="46C71DA3"/>
    <w:rsid w:val="47012E26"/>
    <w:rsid w:val="47197376"/>
    <w:rsid w:val="47446EF9"/>
    <w:rsid w:val="4763768D"/>
    <w:rsid w:val="479F47D5"/>
    <w:rsid w:val="48142270"/>
    <w:rsid w:val="48D367DD"/>
    <w:rsid w:val="4997611E"/>
    <w:rsid w:val="4A8A4377"/>
    <w:rsid w:val="4AA743C5"/>
    <w:rsid w:val="4B2E1B45"/>
    <w:rsid w:val="4C116F1B"/>
    <w:rsid w:val="4C6B6035"/>
    <w:rsid w:val="4C83676C"/>
    <w:rsid w:val="4CDD0016"/>
    <w:rsid w:val="4D0D45ED"/>
    <w:rsid w:val="4D737C3B"/>
    <w:rsid w:val="4E7D5950"/>
    <w:rsid w:val="4F895E47"/>
    <w:rsid w:val="4F934F18"/>
    <w:rsid w:val="4FA76912"/>
    <w:rsid w:val="50463BC3"/>
    <w:rsid w:val="505418DC"/>
    <w:rsid w:val="50630D8E"/>
    <w:rsid w:val="507E7976"/>
    <w:rsid w:val="51142088"/>
    <w:rsid w:val="516910D1"/>
    <w:rsid w:val="51D5531F"/>
    <w:rsid w:val="52727869"/>
    <w:rsid w:val="52901701"/>
    <w:rsid w:val="530A3D39"/>
    <w:rsid w:val="54700F99"/>
    <w:rsid w:val="54FC26B7"/>
    <w:rsid w:val="553D1193"/>
    <w:rsid w:val="56067310"/>
    <w:rsid w:val="56692FD1"/>
    <w:rsid w:val="56C105BC"/>
    <w:rsid w:val="56EE00F5"/>
    <w:rsid w:val="5764628E"/>
    <w:rsid w:val="57A51342"/>
    <w:rsid w:val="57AB018F"/>
    <w:rsid w:val="586D0C2B"/>
    <w:rsid w:val="58C22182"/>
    <w:rsid w:val="593257A1"/>
    <w:rsid w:val="596F60AE"/>
    <w:rsid w:val="599022FF"/>
    <w:rsid w:val="59D2663D"/>
    <w:rsid w:val="59E049F9"/>
    <w:rsid w:val="59ED08EF"/>
    <w:rsid w:val="5A39766B"/>
    <w:rsid w:val="5A8272CD"/>
    <w:rsid w:val="5AC056CA"/>
    <w:rsid w:val="5B751975"/>
    <w:rsid w:val="5BCE7A03"/>
    <w:rsid w:val="5CC84710"/>
    <w:rsid w:val="5EC53368"/>
    <w:rsid w:val="5F3131C6"/>
    <w:rsid w:val="602D6CC3"/>
    <w:rsid w:val="60C2565D"/>
    <w:rsid w:val="610572F8"/>
    <w:rsid w:val="61572249"/>
    <w:rsid w:val="619B6010"/>
    <w:rsid w:val="61F061FA"/>
    <w:rsid w:val="623600B0"/>
    <w:rsid w:val="624215C5"/>
    <w:rsid w:val="624774C3"/>
    <w:rsid w:val="627E3805"/>
    <w:rsid w:val="62D8753A"/>
    <w:rsid w:val="62FD0BCE"/>
    <w:rsid w:val="63853D7F"/>
    <w:rsid w:val="63A07F6E"/>
    <w:rsid w:val="63B84D56"/>
    <w:rsid w:val="64065861"/>
    <w:rsid w:val="657667D3"/>
    <w:rsid w:val="65A45331"/>
    <w:rsid w:val="65BA4A36"/>
    <w:rsid w:val="661311B8"/>
    <w:rsid w:val="6672542F"/>
    <w:rsid w:val="672030DD"/>
    <w:rsid w:val="67424E02"/>
    <w:rsid w:val="67801DCE"/>
    <w:rsid w:val="67EC45EE"/>
    <w:rsid w:val="67FC1454"/>
    <w:rsid w:val="68CA15F7"/>
    <w:rsid w:val="69023EE9"/>
    <w:rsid w:val="69A00505"/>
    <w:rsid w:val="69A84119"/>
    <w:rsid w:val="6A7774B8"/>
    <w:rsid w:val="6A7A25D7"/>
    <w:rsid w:val="6AB04778"/>
    <w:rsid w:val="6B6C4B43"/>
    <w:rsid w:val="6B820737"/>
    <w:rsid w:val="6C1578A5"/>
    <w:rsid w:val="6DAF0041"/>
    <w:rsid w:val="6EB02F99"/>
    <w:rsid w:val="6EB20ABF"/>
    <w:rsid w:val="6EC1311E"/>
    <w:rsid w:val="6F406B10"/>
    <w:rsid w:val="6FD9207B"/>
    <w:rsid w:val="6FF375E1"/>
    <w:rsid w:val="708E182F"/>
    <w:rsid w:val="70EB3C4B"/>
    <w:rsid w:val="71272553"/>
    <w:rsid w:val="71CF7BDA"/>
    <w:rsid w:val="72AC7F1B"/>
    <w:rsid w:val="7314244A"/>
    <w:rsid w:val="734168B5"/>
    <w:rsid w:val="747C35A9"/>
    <w:rsid w:val="747E5633"/>
    <w:rsid w:val="752D2B8E"/>
    <w:rsid w:val="75B82733"/>
    <w:rsid w:val="76065B94"/>
    <w:rsid w:val="763B7418"/>
    <w:rsid w:val="765C54A6"/>
    <w:rsid w:val="7675103A"/>
    <w:rsid w:val="76996286"/>
    <w:rsid w:val="76BA0E58"/>
    <w:rsid w:val="76DA5057"/>
    <w:rsid w:val="7752732D"/>
    <w:rsid w:val="77593166"/>
    <w:rsid w:val="776112D4"/>
    <w:rsid w:val="77912E40"/>
    <w:rsid w:val="77C47AB5"/>
    <w:rsid w:val="79147DDA"/>
    <w:rsid w:val="79782A19"/>
    <w:rsid w:val="79EC7DDC"/>
    <w:rsid w:val="7B6C0247"/>
    <w:rsid w:val="7BBF0CBF"/>
    <w:rsid w:val="7BFB59C6"/>
    <w:rsid w:val="7C086208"/>
    <w:rsid w:val="7C174657"/>
    <w:rsid w:val="7CB4634A"/>
    <w:rsid w:val="7CC3637C"/>
    <w:rsid w:val="7CED3690"/>
    <w:rsid w:val="7D311748"/>
    <w:rsid w:val="7D4B0E10"/>
    <w:rsid w:val="7DB67EA0"/>
    <w:rsid w:val="7E325778"/>
    <w:rsid w:val="7EAC2B50"/>
    <w:rsid w:val="7EEF5417"/>
    <w:rsid w:val="7F0B76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snapToGrid w:val="0"/>
      <w:spacing w:line="360" w:lineRule="atLeast"/>
      <w:outlineLvl w:val="0"/>
    </w:pPr>
    <w:rPr>
      <w:rFonts w:ascii="宋体"/>
    </w:rPr>
  </w:style>
  <w:style w:type="paragraph" w:styleId="3">
    <w:name w:val="heading 2"/>
    <w:basedOn w:val="1"/>
    <w:next w:val="1"/>
    <w:qFormat/>
    <w:uiPriority w:val="0"/>
    <w:pPr>
      <w:keepNext/>
      <w:keepLines/>
      <w:spacing w:line="413" w:lineRule="auto"/>
      <w:outlineLvl w:val="1"/>
    </w:pPr>
    <w:rPr>
      <w:rFonts w:ascii="Arial" w:hAnsi="Arial" w:eastAsia="黑体"/>
      <w:b/>
      <w:sz w:val="32"/>
    </w:rPr>
  </w:style>
  <w:style w:type="paragraph" w:styleId="4">
    <w:name w:val="heading 3"/>
    <w:basedOn w:val="1"/>
    <w:next w:val="1"/>
    <w:qFormat/>
    <w:uiPriority w:val="0"/>
    <w:pPr>
      <w:keepNext/>
      <w:keepLines/>
      <w:spacing w:line="413" w:lineRule="auto"/>
      <w:jc w:val="center"/>
      <w:outlineLvl w:val="2"/>
    </w:pPr>
    <w:rPr>
      <w:b/>
      <w:sz w:val="44"/>
    </w:rPr>
  </w:style>
  <w:style w:type="paragraph" w:styleId="5">
    <w:name w:val="heading 4"/>
    <w:basedOn w:val="1"/>
    <w:next w:val="1"/>
    <w:qFormat/>
    <w:uiPriority w:val="0"/>
    <w:pPr>
      <w:keepNext/>
      <w:keepLines/>
      <w:spacing w:before="280" w:after="290" w:line="372" w:lineRule="auto"/>
      <w:outlineLvl w:val="3"/>
    </w:pPr>
    <w:rPr>
      <w:rFonts w:ascii="Arial" w:hAnsi="Arial" w:eastAsia="黑体"/>
      <w:b/>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6">
    <w:name w:val="Body Text"/>
    <w:basedOn w:val="1"/>
    <w:next w:val="1"/>
    <w:qFormat/>
    <w:uiPriority w:val="0"/>
    <w:rPr>
      <w:rFonts w:ascii="仿宋_GB2312" w:eastAsia="仿宋_GB2312"/>
      <w:sz w:val="32"/>
    </w:rPr>
  </w:style>
  <w:style w:type="paragraph" w:styleId="7">
    <w:name w:val="Plain Text"/>
    <w:basedOn w:val="1"/>
    <w:qFormat/>
    <w:uiPriority w:val="0"/>
    <w:rPr>
      <w:rFonts w:ascii="宋体" w:hAnsi="Courier New"/>
      <w:sz w:val="21"/>
    </w:rPr>
  </w:style>
  <w:style w:type="paragraph" w:styleId="8">
    <w:name w:val="Body Text Indent 2"/>
    <w:basedOn w:val="1"/>
    <w:qFormat/>
    <w:uiPriority w:val="0"/>
    <w:pPr>
      <w:snapToGrid w:val="0"/>
      <w:spacing w:line="560" w:lineRule="atLeast"/>
      <w:ind w:firstLine="540"/>
    </w:pPr>
  </w:style>
  <w:style w:type="paragraph" w:styleId="9">
    <w:name w:val="footer"/>
    <w:basedOn w:val="1"/>
    <w:link w:val="23"/>
    <w:qFormat/>
    <w:uiPriority w:val="0"/>
    <w:pPr>
      <w:tabs>
        <w:tab w:val="center" w:pos="4153"/>
        <w:tab w:val="right" w:pos="8306"/>
      </w:tabs>
      <w:snapToGrid w:val="0"/>
      <w:jc w:val="left"/>
    </w:pPr>
    <w:rPr>
      <w:sz w:val="18"/>
      <w:szCs w:val="18"/>
    </w:rPr>
  </w:style>
  <w:style w:type="paragraph" w:styleId="10">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Body Text First Indent"/>
    <w:basedOn w:val="6"/>
    <w:next w:val="13"/>
    <w:qFormat/>
    <w:uiPriority w:val="0"/>
    <w:pPr>
      <w:spacing w:line="360" w:lineRule="auto"/>
      <w:ind w:firstLine="420"/>
    </w:pPr>
    <w:rPr>
      <w:rFonts w:ascii="宋体" w:hAnsi="宋体"/>
      <w:sz w:val="24"/>
    </w:rPr>
  </w:style>
  <w:style w:type="paragraph" w:customStyle="1" w:styleId="13">
    <w:name w:val="样式 正文首行缩进 + 首行缩进:  2 字符1 Char Char"/>
    <w:basedOn w:val="1"/>
    <w:qFormat/>
    <w:uiPriority w:val="0"/>
    <w:pPr>
      <w:adjustRightInd w:val="0"/>
      <w:spacing w:line="400" w:lineRule="exact"/>
      <w:ind w:firstLine="480" w:firstLineChars="200"/>
      <w:textAlignment w:val="baseline"/>
    </w:pPr>
    <w:rPr>
      <w:rFonts w:ascii="宋体" w:hAnsi="宋体" w:eastAsia="仿宋_GB2312" w:cs="宋体"/>
      <w:color w:val="000000"/>
      <w:sz w:val="26"/>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正文格式"/>
    <w:basedOn w:val="19"/>
    <w:qFormat/>
    <w:uiPriority w:val="0"/>
    <w:pPr>
      <w:widowControl/>
      <w:adjustRightInd w:val="0"/>
      <w:snapToGrid w:val="0"/>
      <w:spacing w:line="360" w:lineRule="auto"/>
      <w:ind w:firstLine="480" w:firstLineChars="200"/>
      <w:jc w:val="left"/>
      <w:textAlignment w:val="baseline"/>
    </w:pPr>
    <w:rPr>
      <w:rFonts w:ascii="宋体" w:hAnsi="宋体"/>
      <w:color w:val="000000"/>
      <w:kern w:val="0"/>
      <w:sz w:val="24"/>
    </w:rPr>
  </w:style>
  <w:style w:type="paragraph" w:customStyle="1" w:styleId="19">
    <w:name w:val="正文_2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0">
    <w:name w:val="Heading3"/>
    <w:basedOn w:val="1"/>
    <w:next w:val="1"/>
    <w:qFormat/>
    <w:uiPriority w:val="0"/>
    <w:pPr>
      <w:keepNext/>
      <w:keepLines/>
      <w:spacing w:before="260" w:after="260" w:line="412" w:lineRule="auto"/>
    </w:pPr>
    <w:rPr>
      <w:b/>
      <w:bCs/>
      <w:sz w:val="32"/>
      <w:szCs w:val="32"/>
    </w:rPr>
  </w:style>
  <w:style w:type="paragraph" w:customStyle="1" w:styleId="21">
    <w:name w:val="信息部正文"/>
    <w:basedOn w:val="1"/>
    <w:qFormat/>
    <w:uiPriority w:val="0"/>
    <w:pPr>
      <w:ind w:firstLine="480" w:firstLineChars="200"/>
    </w:pPr>
    <w:rPr>
      <w:rFonts w:ascii="宋体" w:hAnsi="宋体" w:cs="宋体"/>
    </w:rPr>
  </w:style>
  <w:style w:type="character" w:customStyle="1" w:styleId="22">
    <w:name w:val="页眉 字符"/>
    <w:basedOn w:val="16"/>
    <w:link w:val="10"/>
    <w:qFormat/>
    <w:uiPriority w:val="0"/>
    <w:rPr>
      <w:kern w:val="2"/>
      <w:sz w:val="18"/>
      <w:szCs w:val="18"/>
    </w:rPr>
  </w:style>
  <w:style w:type="character" w:customStyle="1" w:styleId="23">
    <w:name w:val="页脚 字符"/>
    <w:basedOn w:val="16"/>
    <w:link w:val="9"/>
    <w:qFormat/>
    <w:uiPriority w:val="0"/>
    <w:rPr>
      <w:kern w:val="2"/>
      <w:sz w:val="18"/>
      <w:szCs w:val="18"/>
    </w:rPr>
  </w:style>
  <w:style w:type="paragraph" w:styleId="24">
    <w:name w:val="List Paragraph"/>
    <w:basedOn w:val="1"/>
    <w:qFormat/>
    <w:uiPriority w:val="99"/>
    <w:pPr>
      <w:ind w:firstLine="420" w:firstLineChars="200"/>
    </w:pPr>
  </w:style>
  <w:style w:type="paragraph" w:customStyle="1" w:styleId="25">
    <w:name w:val="Default"/>
    <w:next w:val="1"/>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paragraph" w:customStyle="1" w:styleId="26">
    <w:name w:val="图例"/>
    <w:basedOn w:val="1"/>
    <w:qFormat/>
    <w:uiPriority w:val="0"/>
    <w:pPr>
      <w:spacing w:before="120" w:after="120" w:line="360" w:lineRule="auto"/>
      <w:jc w:val="center"/>
    </w:pPr>
    <w:rPr>
      <w:rFonts w:eastAsia="仿宋_GB2312"/>
      <w:b/>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16</Pages>
  <Words>3828</Words>
  <Characters>3949</Characters>
  <Lines>18</Lines>
  <Paragraphs>5</Paragraphs>
  <TotalTime>35</TotalTime>
  <ScaleCrop>false</ScaleCrop>
  <LinksUpToDate>false</LinksUpToDate>
  <CharactersWithSpaces>3951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2025-05-08T06:27:00Z</dcterms:created>
  <dc:creator>丹姐</dc:creator>
  <cp:lastModifiedBy>航</cp:lastModifiedBy>
  <cp:lastPrinted>2026-05-25T06:53:00Z</cp:lastPrinted>
  <dcterms:modified xsi:type="dcterms:W3CDTF">2026-07-14T01:35:54Z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0EAF5BEC7CB1480A83E676E1A8C14B3E_13</vt:lpwstr>
  </property>
  <property fmtid="{D5CDD505-2E9C-101B-9397-08002B2CF9AE}" pid="4" name="KSOTemplateDocerSaveRecord">
    <vt:lpwstr>eyJoZGlkIjoiY2Y4Njg0NGFmMzgwOWY1MjIxY2RhNmQ5MDY0NGQxMDUiLCJ1c2VySWQiOiI0MzM3MDk0NTkifQ==</vt:lpwstr>
  </property>
</Properties>
</file>